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8F" w:rsidRDefault="006962DB">
      <w:pPr>
        <w:rPr>
          <w:rFonts w:ascii="Times New Roman" w:hAnsi="Times New Roman" w:cs="Times New Roman"/>
          <w:sz w:val="24"/>
          <w:szCs w:val="24"/>
        </w:rPr>
      </w:pPr>
      <w:r>
        <w:rPr>
          <w:rFonts w:ascii="Times New Roman" w:hAnsi="Times New Roman" w:cs="Times New Roman"/>
          <w:sz w:val="24"/>
          <w:szCs w:val="24"/>
        </w:rPr>
        <w:t>The Sociology of Money and its Contribution to Understanding Chronic US Trade Deficits</w:t>
      </w:r>
    </w:p>
    <w:p w:rsidR="00163E8F" w:rsidRDefault="00163E8F">
      <w:pPr>
        <w:rPr>
          <w:rFonts w:ascii="Times New Roman" w:hAnsi="Times New Roman" w:cs="Times New Roman"/>
          <w:sz w:val="24"/>
          <w:szCs w:val="24"/>
        </w:rPr>
      </w:pPr>
      <w:r>
        <w:rPr>
          <w:rFonts w:ascii="Times New Roman" w:hAnsi="Times New Roman" w:cs="Times New Roman"/>
          <w:sz w:val="24"/>
          <w:szCs w:val="24"/>
        </w:rPr>
        <w:t xml:space="preserve">Jesse Liss, Visiting Assistant Professor, </w:t>
      </w:r>
      <w:r w:rsidR="005D0A3F">
        <w:rPr>
          <w:rFonts w:ascii="Times New Roman" w:hAnsi="Times New Roman" w:cs="Times New Roman"/>
          <w:sz w:val="24"/>
          <w:szCs w:val="24"/>
        </w:rPr>
        <w:t xml:space="preserve">Sociology Department, </w:t>
      </w:r>
      <w:r>
        <w:rPr>
          <w:rFonts w:ascii="Times New Roman" w:hAnsi="Times New Roman" w:cs="Times New Roman"/>
          <w:sz w:val="24"/>
          <w:szCs w:val="24"/>
        </w:rPr>
        <w:t>Bloomsburg University, PA</w:t>
      </w:r>
    </w:p>
    <w:p w:rsidR="005D0A3F" w:rsidRDefault="00163E8F" w:rsidP="004908BE">
      <w:pPr>
        <w:rPr>
          <w:rFonts w:ascii="Times New Roman" w:hAnsi="Times New Roman" w:cs="Times New Roman"/>
          <w:sz w:val="24"/>
          <w:szCs w:val="24"/>
        </w:rPr>
      </w:pPr>
      <w:r>
        <w:rPr>
          <w:rFonts w:ascii="Times New Roman" w:hAnsi="Times New Roman" w:cs="Times New Roman"/>
          <w:sz w:val="24"/>
          <w:szCs w:val="24"/>
        </w:rPr>
        <w:t xml:space="preserve">Abstract: </w:t>
      </w:r>
      <w:r w:rsidR="005D0A3F">
        <w:rPr>
          <w:rFonts w:ascii="Times New Roman" w:hAnsi="Times New Roman" w:cs="Times New Roman"/>
          <w:sz w:val="24"/>
          <w:szCs w:val="24"/>
        </w:rPr>
        <w:t xml:space="preserve">Economics </w:t>
      </w:r>
      <w:r w:rsidR="004908BE">
        <w:rPr>
          <w:rFonts w:ascii="Times New Roman" w:hAnsi="Times New Roman" w:cs="Times New Roman"/>
          <w:sz w:val="24"/>
          <w:szCs w:val="24"/>
        </w:rPr>
        <w:t>has</w:t>
      </w:r>
      <w:r w:rsidR="005D0A3F">
        <w:rPr>
          <w:rFonts w:ascii="Times New Roman" w:hAnsi="Times New Roman" w:cs="Times New Roman"/>
          <w:sz w:val="24"/>
          <w:szCs w:val="24"/>
        </w:rPr>
        <w:t xml:space="preserve"> advanced robust explanations for the dollar standard, global trade imbalances, and the relation between both. However, economic analysis </w:t>
      </w:r>
      <w:r w:rsidR="004908BE">
        <w:rPr>
          <w:rFonts w:ascii="Times New Roman" w:hAnsi="Times New Roman" w:cs="Times New Roman"/>
          <w:sz w:val="24"/>
          <w:szCs w:val="24"/>
        </w:rPr>
        <w:t>concludes that</w:t>
      </w:r>
      <w:r w:rsidR="005D0A3F">
        <w:rPr>
          <w:rFonts w:ascii="Times New Roman" w:hAnsi="Times New Roman" w:cs="Times New Roman"/>
          <w:sz w:val="24"/>
          <w:szCs w:val="24"/>
        </w:rPr>
        <w:t xml:space="preserve"> these conditions a</w:t>
      </w:r>
      <w:r w:rsidR="004908BE">
        <w:rPr>
          <w:rFonts w:ascii="Times New Roman" w:hAnsi="Times New Roman" w:cs="Times New Roman"/>
          <w:sz w:val="24"/>
          <w:szCs w:val="24"/>
        </w:rPr>
        <w:t>re</w:t>
      </w:r>
      <w:r w:rsidR="005D0A3F">
        <w:rPr>
          <w:rFonts w:ascii="Times New Roman" w:hAnsi="Times New Roman" w:cs="Times New Roman"/>
          <w:sz w:val="24"/>
          <w:szCs w:val="24"/>
        </w:rPr>
        <w:t xml:space="preserve"> results of market forces, </w:t>
      </w:r>
      <w:r w:rsidR="004908BE">
        <w:rPr>
          <w:rFonts w:ascii="Times New Roman" w:hAnsi="Times New Roman" w:cs="Times New Roman"/>
          <w:sz w:val="24"/>
          <w:szCs w:val="24"/>
        </w:rPr>
        <w:t>not</w:t>
      </w:r>
      <w:r w:rsidR="005D0A3F">
        <w:rPr>
          <w:rFonts w:ascii="Times New Roman" w:hAnsi="Times New Roman" w:cs="Times New Roman"/>
          <w:sz w:val="24"/>
          <w:szCs w:val="24"/>
        </w:rPr>
        <w:t xml:space="preserve"> actors with agency. To that end, this article employs a sociological perspective using the sociology</w:t>
      </w:r>
      <w:r w:rsidR="00140F82">
        <w:rPr>
          <w:rFonts w:ascii="Times New Roman" w:hAnsi="Times New Roman" w:cs="Times New Roman"/>
          <w:sz w:val="24"/>
          <w:szCs w:val="24"/>
        </w:rPr>
        <w:t xml:space="preserve"> of</w:t>
      </w:r>
      <w:r w:rsidR="005D0A3F">
        <w:rPr>
          <w:rFonts w:ascii="Times New Roman" w:hAnsi="Times New Roman" w:cs="Times New Roman"/>
          <w:sz w:val="24"/>
          <w:szCs w:val="24"/>
        </w:rPr>
        <w:t xml:space="preserve"> money to explain the institutionalization and maintenance of the dollar standard. </w:t>
      </w:r>
      <w:r w:rsidR="004908BE">
        <w:rPr>
          <w:rFonts w:ascii="Times New Roman" w:hAnsi="Times New Roman" w:cs="Times New Roman"/>
          <w:sz w:val="24"/>
          <w:szCs w:val="24"/>
        </w:rPr>
        <w:t>I present a</w:t>
      </w:r>
      <w:r w:rsidR="005D0A3F">
        <w:rPr>
          <w:rFonts w:ascii="Times New Roman" w:hAnsi="Times New Roman" w:cs="Times New Roman"/>
          <w:sz w:val="24"/>
          <w:szCs w:val="24"/>
        </w:rPr>
        <w:t xml:space="preserve"> synthesis of three main theoretical currents in </w:t>
      </w:r>
      <w:r w:rsidR="00E3555C">
        <w:rPr>
          <w:rFonts w:ascii="Times New Roman" w:hAnsi="Times New Roman" w:cs="Times New Roman"/>
          <w:sz w:val="24"/>
          <w:szCs w:val="24"/>
        </w:rPr>
        <w:t xml:space="preserve">the </w:t>
      </w:r>
      <w:r w:rsidR="005D0A3F">
        <w:rPr>
          <w:rFonts w:ascii="Times New Roman" w:hAnsi="Times New Roman" w:cs="Times New Roman"/>
          <w:sz w:val="24"/>
          <w:szCs w:val="24"/>
        </w:rPr>
        <w:t xml:space="preserve">sociology of money – statist, Marxian, and sociocultural. </w:t>
      </w:r>
      <w:r w:rsidR="004908BE">
        <w:rPr>
          <w:rFonts w:ascii="Times New Roman" w:hAnsi="Times New Roman" w:cs="Times New Roman"/>
          <w:sz w:val="24"/>
          <w:szCs w:val="24"/>
        </w:rPr>
        <w:t xml:space="preserve">I apply these perspectives to the historical evolution of the dollar standard and the US trade deficit. This advances a class-agency based account of the </w:t>
      </w:r>
      <w:r w:rsidR="00E3555C">
        <w:rPr>
          <w:rFonts w:ascii="Times New Roman" w:hAnsi="Times New Roman" w:cs="Times New Roman"/>
          <w:sz w:val="24"/>
          <w:szCs w:val="24"/>
        </w:rPr>
        <w:t xml:space="preserve">political </w:t>
      </w:r>
      <w:r w:rsidR="004908BE">
        <w:rPr>
          <w:rFonts w:ascii="Times New Roman" w:hAnsi="Times New Roman" w:cs="Times New Roman"/>
          <w:sz w:val="24"/>
          <w:szCs w:val="24"/>
        </w:rPr>
        <w:t xml:space="preserve">drivers of both the dollar standard and trade imbalances. </w:t>
      </w:r>
      <w:r w:rsidR="005D0A3F" w:rsidRPr="00E9422F">
        <w:rPr>
          <w:rFonts w:ascii="Times New Roman" w:hAnsi="Times New Roman" w:cs="Times New Roman"/>
          <w:sz w:val="24"/>
          <w:szCs w:val="24"/>
        </w:rPr>
        <w:t xml:space="preserve">Internationally, the dollar standard rests on financial and political power asymmetries between the </w:t>
      </w:r>
      <w:r w:rsidR="005D0A3F">
        <w:rPr>
          <w:rFonts w:ascii="Times New Roman" w:hAnsi="Times New Roman" w:cs="Times New Roman"/>
          <w:sz w:val="24"/>
          <w:szCs w:val="24"/>
        </w:rPr>
        <w:t>US</w:t>
      </w:r>
      <w:r w:rsidR="005D0A3F" w:rsidRPr="00E9422F">
        <w:rPr>
          <w:rFonts w:ascii="Times New Roman" w:hAnsi="Times New Roman" w:cs="Times New Roman"/>
          <w:sz w:val="24"/>
          <w:szCs w:val="24"/>
        </w:rPr>
        <w:t xml:space="preserve"> and the rest of the world; domestically, </w:t>
      </w:r>
      <w:r w:rsidR="005D0A3F">
        <w:rPr>
          <w:rFonts w:ascii="Times New Roman" w:hAnsi="Times New Roman" w:cs="Times New Roman"/>
          <w:sz w:val="24"/>
          <w:szCs w:val="24"/>
        </w:rPr>
        <w:t>the dollar standard</w:t>
      </w:r>
      <w:r w:rsidR="005D0A3F" w:rsidRPr="00E9422F">
        <w:rPr>
          <w:rFonts w:ascii="Times New Roman" w:hAnsi="Times New Roman" w:cs="Times New Roman"/>
          <w:sz w:val="24"/>
          <w:szCs w:val="24"/>
        </w:rPr>
        <w:t xml:space="preserve"> depends on social and political conditions to contain inflation, notably de-unionization trends</w:t>
      </w:r>
      <w:r w:rsidR="00E3555C">
        <w:rPr>
          <w:rFonts w:ascii="Times New Roman" w:hAnsi="Times New Roman" w:cs="Times New Roman"/>
          <w:sz w:val="24"/>
          <w:szCs w:val="24"/>
        </w:rPr>
        <w:t xml:space="preserve"> and low-wage imports from China</w:t>
      </w:r>
      <w:r w:rsidR="005D0A3F" w:rsidRPr="00E9422F">
        <w:rPr>
          <w:rFonts w:ascii="Times New Roman" w:hAnsi="Times New Roman" w:cs="Times New Roman"/>
          <w:sz w:val="24"/>
          <w:szCs w:val="24"/>
        </w:rPr>
        <w:t>.</w:t>
      </w:r>
      <w:r w:rsidR="005D0A3F">
        <w:rPr>
          <w:rFonts w:ascii="Times New Roman" w:hAnsi="Times New Roman" w:cs="Times New Roman"/>
          <w:sz w:val="24"/>
          <w:szCs w:val="24"/>
        </w:rPr>
        <w:t xml:space="preserve"> </w:t>
      </w:r>
      <w:r w:rsidR="004908BE">
        <w:rPr>
          <w:rFonts w:ascii="Times New Roman" w:hAnsi="Times New Roman" w:cs="Times New Roman"/>
          <w:sz w:val="24"/>
          <w:szCs w:val="24"/>
        </w:rPr>
        <w:t>It follows that chronic US trade deficits are dependent upon the same political conditions.</w:t>
      </w:r>
    </w:p>
    <w:p w:rsidR="00E3555C" w:rsidRDefault="00E3555C" w:rsidP="004908BE">
      <w:pPr>
        <w:rPr>
          <w:rFonts w:ascii="Times New Roman" w:hAnsi="Times New Roman" w:cs="Times New Roman"/>
          <w:sz w:val="24"/>
          <w:szCs w:val="24"/>
        </w:rPr>
      </w:pPr>
      <w:r>
        <w:rPr>
          <w:rFonts w:ascii="Times New Roman" w:hAnsi="Times New Roman" w:cs="Times New Roman"/>
          <w:sz w:val="24"/>
          <w:szCs w:val="24"/>
        </w:rPr>
        <w:t>Keywords: Trade Imbalances; Sociology of Money; Economic Sociology; Historical Sociology; International Political Economy; US Trade Policy</w:t>
      </w:r>
    </w:p>
    <w:p w:rsidR="006962DB" w:rsidRDefault="006962DB">
      <w:pPr>
        <w:rPr>
          <w:rFonts w:ascii="Times New Roman" w:hAnsi="Times New Roman" w:cs="Times New Roman"/>
          <w:sz w:val="24"/>
          <w:szCs w:val="24"/>
        </w:rPr>
      </w:pPr>
      <w:r>
        <w:rPr>
          <w:rFonts w:ascii="Times New Roman" w:hAnsi="Times New Roman" w:cs="Times New Roman"/>
          <w:sz w:val="24"/>
          <w:szCs w:val="24"/>
        </w:rPr>
        <w:br w:type="page"/>
      </w:r>
    </w:p>
    <w:p w:rsidR="00CD08B4" w:rsidRPr="00E9422F" w:rsidRDefault="00097C58" w:rsidP="002677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I. Introduction</w:t>
      </w:r>
    </w:p>
    <w:p w:rsidR="00B1069D" w:rsidRDefault="00B1069D" w:rsidP="002677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new Trump administration has been aggressive towards the </w:t>
      </w:r>
      <w:r w:rsidR="000014D7">
        <w:rPr>
          <w:rFonts w:ascii="Times New Roman" w:hAnsi="Times New Roman" w:cs="Times New Roman"/>
          <w:sz w:val="24"/>
          <w:szCs w:val="24"/>
        </w:rPr>
        <w:t>US</w:t>
      </w:r>
      <w:r>
        <w:rPr>
          <w:rFonts w:ascii="Times New Roman" w:hAnsi="Times New Roman" w:cs="Times New Roman"/>
          <w:sz w:val="24"/>
          <w:szCs w:val="24"/>
        </w:rPr>
        <w:t xml:space="preserve"> trade deficit and large trade partners. This is a historical break from the approach of previous administrations who were far less concerned with the trade deficit. President Trump issued an Executive Order that asserted, </w:t>
      </w:r>
    </w:p>
    <w:p w:rsidR="005014E6" w:rsidRDefault="00B1069D" w:rsidP="002677C2">
      <w:pPr>
        <w:spacing w:after="0" w:line="240" w:lineRule="auto"/>
        <w:ind w:left="720" w:right="720" w:firstLine="720"/>
        <w:contextualSpacing/>
        <w:rPr>
          <w:rFonts w:ascii="Times New Roman" w:hAnsi="Times New Roman" w:cs="Times New Roman"/>
          <w:sz w:val="24"/>
          <w:szCs w:val="24"/>
        </w:rPr>
      </w:pPr>
      <w:r>
        <w:rPr>
          <w:rFonts w:ascii="Times New Roman" w:hAnsi="Times New Roman" w:cs="Times New Roman"/>
          <w:sz w:val="24"/>
          <w:szCs w:val="24"/>
        </w:rPr>
        <w:t xml:space="preserve">“The United States annual trade deficit in goods exceeds $700 billion, and the overall trade deficit exceeded $500 billion in 2016. The United States must address the challenges to economic growth and employment that may arise from large and chronic trade deficits and the unfair and discriminatory trade practices of some of our trading partners” (Trump 2017). </w:t>
      </w:r>
    </w:p>
    <w:p w:rsidR="00D75403" w:rsidRDefault="00D81CE5" w:rsidP="002677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However, by early 2018 the </w:t>
      </w:r>
      <w:r w:rsidR="000014D7">
        <w:rPr>
          <w:rFonts w:ascii="Times New Roman" w:hAnsi="Times New Roman" w:cs="Times New Roman"/>
          <w:sz w:val="24"/>
          <w:szCs w:val="24"/>
        </w:rPr>
        <w:t>US</w:t>
      </w:r>
      <w:r>
        <w:rPr>
          <w:rFonts w:ascii="Times New Roman" w:hAnsi="Times New Roman" w:cs="Times New Roman"/>
          <w:sz w:val="24"/>
          <w:szCs w:val="24"/>
        </w:rPr>
        <w:t xml:space="preserve"> trade deficit climbed to new heights, in goods the overall deficit was recorded at </w:t>
      </w:r>
      <w:r w:rsidRPr="005014E6">
        <w:rPr>
          <w:rFonts w:ascii="Times New Roman" w:hAnsi="Times New Roman" w:cs="Times New Roman"/>
          <w:sz w:val="24"/>
          <w:szCs w:val="24"/>
        </w:rPr>
        <w:t>$891.3 billion</w:t>
      </w:r>
      <w:r>
        <w:rPr>
          <w:rFonts w:ascii="Times New Roman" w:hAnsi="Times New Roman" w:cs="Times New Roman"/>
          <w:sz w:val="24"/>
          <w:szCs w:val="24"/>
        </w:rPr>
        <w:t xml:space="preserve"> with China accounting for nearly half (</w:t>
      </w:r>
      <w:r w:rsidRPr="005014E6">
        <w:rPr>
          <w:rFonts w:ascii="Times New Roman" w:hAnsi="Times New Roman" w:cs="Times New Roman"/>
          <w:sz w:val="24"/>
          <w:szCs w:val="24"/>
        </w:rPr>
        <w:t>$419.2 billion</w:t>
      </w:r>
      <w:r>
        <w:rPr>
          <w:rFonts w:ascii="Times New Roman" w:hAnsi="Times New Roman" w:cs="Times New Roman"/>
          <w:sz w:val="24"/>
          <w:szCs w:val="24"/>
        </w:rPr>
        <w:t>).</w:t>
      </w:r>
      <w:r w:rsidR="00B1069D" w:rsidRPr="00E9422F">
        <w:rPr>
          <w:rFonts w:ascii="Times New Roman" w:hAnsi="Times New Roman" w:cs="Times New Roman"/>
          <w:sz w:val="24"/>
          <w:szCs w:val="24"/>
        </w:rPr>
        <w:t xml:space="preserve"> </w:t>
      </w:r>
      <w:r w:rsidR="00E9422F" w:rsidRPr="00E9422F">
        <w:rPr>
          <w:rFonts w:ascii="Times New Roman" w:hAnsi="Times New Roman" w:cs="Times New Roman"/>
          <w:sz w:val="24"/>
          <w:szCs w:val="24"/>
        </w:rPr>
        <w:t xml:space="preserve">The dynamics of </w:t>
      </w:r>
      <w:r w:rsidR="000014D7">
        <w:rPr>
          <w:rFonts w:ascii="Times New Roman" w:hAnsi="Times New Roman" w:cs="Times New Roman"/>
          <w:sz w:val="24"/>
          <w:szCs w:val="24"/>
        </w:rPr>
        <w:t>US</w:t>
      </w:r>
      <w:r w:rsidR="00E9422F" w:rsidRPr="00E9422F">
        <w:rPr>
          <w:rFonts w:ascii="Times New Roman" w:hAnsi="Times New Roman" w:cs="Times New Roman"/>
          <w:sz w:val="24"/>
          <w:szCs w:val="24"/>
        </w:rPr>
        <w:t xml:space="preserve"> trade deficits are well researched. </w:t>
      </w:r>
    </w:p>
    <w:p w:rsidR="00E9422F" w:rsidRPr="00E9422F" w:rsidRDefault="00E3555C" w:rsidP="002677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Economists</w:t>
      </w:r>
      <w:r w:rsidR="00E9422F" w:rsidRPr="00E9422F">
        <w:rPr>
          <w:rFonts w:ascii="Times New Roman" w:hAnsi="Times New Roman" w:cs="Times New Roman"/>
          <w:sz w:val="24"/>
          <w:szCs w:val="24"/>
        </w:rPr>
        <w:t xml:space="preserve"> broadly identif</w:t>
      </w:r>
      <w:r w:rsidR="00140F82">
        <w:rPr>
          <w:rFonts w:ascii="Times New Roman" w:hAnsi="Times New Roman" w:cs="Times New Roman"/>
          <w:sz w:val="24"/>
          <w:szCs w:val="24"/>
        </w:rPr>
        <w:t>y</w:t>
      </w:r>
      <w:bookmarkStart w:id="0" w:name="_GoBack"/>
      <w:bookmarkEnd w:id="0"/>
      <w:r w:rsidR="00E9422F" w:rsidRPr="00E9422F">
        <w:rPr>
          <w:rFonts w:ascii="Times New Roman" w:hAnsi="Times New Roman" w:cs="Times New Roman"/>
          <w:sz w:val="24"/>
          <w:szCs w:val="24"/>
        </w:rPr>
        <w:t xml:space="preserve"> two </w:t>
      </w:r>
      <w:r w:rsidR="00D75403">
        <w:rPr>
          <w:rFonts w:ascii="Times New Roman" w:hAnsi="Times New Roman" w:cs="Times New Roman"/>
          <w:sz w:val="24"/>
          <w:szCs w:val="24"/>
        </w:rPr>
        <w:t>drivers</w:t>
      </w:r>
      <w:r w:rsidR="00E9422F" w:rsidRPr="00E9422F">
        <w:rPr>
          <w:rFonts w:ascii="Times New Roman" w:hAnsi="Times New Roman" w:cs="Times New Roman"/>
          <w:sz w:val="24"/>
          <w:szCs w:val="24"/>
        </w:rPr>
        <w:t xml:space="preserve">, (1) </w:t>
      </w:r>
      <w:r w:rsidR="00567CD0">
        <w:rPr>
          <w:rFonts w:ascii="Times New Roman" w:hAnsi="Times New Roman" w:cs="Times New Roman"/>
          <w:sz w:val="24"/>
          <w:szCs w:val="24"/>
        </w:rPr>
        <w:t xml:space="preserve">the </w:t>
      </w:r>
      <w:r w:rsidR="000014D7">
        <w:rPr>
          <w:rFonts w:ascii="Times New Roman" w:hAnsi="Times New Roman" w:cs="Times New Roman"/>
          <w:sz w:val="24"/>
          <w:szCs w:val="24"/>
        </w:rPr>
        <w:t>US</w:t>
      </w:r>
      <w:r w:rsidR="00E9422F" w:rsidRPr="00E9422F">
        <w:rPr>
          <w:rFonts w:ascii="Times New Roman" w:hAnsi="Times New Roman" w:cs="Times New Roman"/>
          <w:sz w:val="24"/>
          <w:szCs w:val="24"/>
        </w:rPr>
        <w:t xml:space="preserve"> spending and the rest of the world saving, and (2) the dollar standard permitting and perpetuating point one. </w:t>
      </w:r>
      <w:r w:rsidR="006531B4">
        <w:rPr>
          <w:rFonts w:ascii="Times New Roman" w:hAnsi="Times New Roman" w:cs="Times New Roman"/>
          <w:sz w:val="24"/>
          <w:szCs w:val="24"/>
        </w:rPr>
        <w:t xml:space="preserve">However, there is scarce literature on the </w:t>
      </w:r>
      <w:r w:rsidR="00E9422F" w:rsidRPr="00E9422F">
        <w:rPr>
          <w:rFonts w:ascii="Times New Roman" w:hAnsi="Times New Roman" w:cs="Times New Roman"/>
          <w:sz w:val="24"/>
          <w:szCs w:val="24"/>
        </w:rPr>
        <w:t xml:space="preserve">social and political </w:t>
      </w:r>
      <w:r w:rsidR="006531B4">
        <w:rPr>
          <w:rFonts w:ascii="Times New Roman" w:hAnsi="Times New Roman" w:cs="Times New Roman"/>
          <w:sz w:val="24"/>
          <w:szCs w:val="24"/>
        </w:rPr>
        <w:t>foundations of these processes</w:t>
      </w:r>
      <w:r w:rsidR="00E9422F" w:rsidRPr="00E9422F">
        <w:rPr>
          <w:rFonts w:ascii="Times New Roman" w:hAnsi="Times New Roman" w:cs="Times New Roman"/>
          <w:sz w:val="24"/>
          <w:szCs w:val="24"/>
        </w:rPr>
        <w:t xml:space="preserve">. </w:t>
      </w:r>
      <w:r w:rsidR="006531B4">
        <w:rPr>
          <w:rFonts w:ascii="Times New Roman" w:hAnsi="Times New Roman" w:cs="Times New Roman"/>
          <w:sz w:val="24"/>
          <w:szCs w:val="24"/>
        </w:rPr>
        <w:t xml:space="preserve">In fact, </w:t>
      </w:r>
      <w:r w:rsidR="003767A3">
        <w:rPr>
          <w:rFonts w:ascii="Times New Roman" w:hAnsi="Times New Roman" w:cs="Times New Roman"/>
          <w:sz w:val="24"/>
          <w:szCs w:val="24"/>
        </w:rPr>
        <w:t>much of the</w:t>
      </w:r>
      <w:r w:rsidR="00E9422F" w:rsidRPr="00E9422F">
        <w:rPr>
          <w:rFonts w:ascii="Times New Roman" w:hAnsi="Times New Roman" w:cs="Times New Roman"/>
          <w:sz w:val="24"/>
          <w:szCs w:val="24"/>
        </w:rPr>
        <w:t xml:space="preserve"> literature has not </w:t>
      </w:r>
      <w:r w:rsidR="00264DED">
        <w:rPr>
          <w:rFonts w:ascii="Times New Roman" w:hAnsi="Times New Roman" w:cs="Times New Roman"/>
          <w:sz w:val="24"/>
          <w:szCs w:val="24"/>
        </w:rPr>
        <w:t xml:space="preserve">sufficiently </w:t>
      </w:r>
      <w:r w:rsidR="00E9422F" w:rsidRPr="00E9422F">
        <w:rPr>
          <w:rFonts w:ascii="Times New Roman" w:hAnsi="Times New Roman" w:cs="Times New Roman"/>
          <w:sz w:val="24"/>
          <w:szCs w:val="24"/>
        </w:rPr>
        <w:t xml:space="preserve">clarified that the dollar standard had to be politically engineered </w:t>
      </w:r>
      <w:r>
        <w:rPr>
          <w:rFonts w:ascii="Times New Roman" w:hAnsi="Times New Roman" w:cs="Times New Roman"/>
          <w:sz w:val="24"/>
          <w:szCs w:val="24"/>
        </w:rPr>
        <w:t xml:space="preserve">and continuously </w:t>
      </w:r>
      <w:r w:rsidR="00E9422F" w:rsidRPr="00E9422F">
        <w:rPr>
          <w:rFonts w:ascii="Times New Roman" w:hAnsi="Times New Roman" w:cs="Times New Roman"/>
          <w:sz w:val="24"/>
          <w:szCs w:val="24"/>
        </w:rPr>
        <w:t>sustained.</w:t>
      </w:r>
    </w:p>
    <w:p w:rsidR="00264DED" w:rsidRDefault="00264DED" w:rsidP="002677C2">
      <w:pPr>
        <w:shd w:val="clear" w:color="auto" w:fill="FFFFFF"/>
        <w:spacing w:after="0" w:line="240" w:lineRule="auto"/>
        <w:ind w:firstLine="720"/>
        <w:contextualSpacing/>
        <w:rPr>
          <w:rFonts w:ascii="Times New Roman" w:hAnsi="Times New Roman" w:cs="Times New Roman"/>
          <w:sz w:val="24"/>
          <w:szCs w:val="24"/>
        </w:rPr>
      </w:pPr>
      <w:r>
        <w:rPr>
          <w:rFonts w:ascii="Times New Roman" w:eastAsia="Times New Roman" w:hAnsi="Times New Roman" w:cs="Times New Roman"/>
          <w:color w:val="333333"/>
          <w:sz w:val="24"/>
          <w:szCs w:val="24"/>
        </w:rPr>
        <w:t>T</w:t>
      </w:r>
      <w:r w:rsidR="00E9422F" w:rsidRPr="003B788D">
        <w:rPr>
          <w:rFonts w:ascii="Times New Roman" w:eastAsia="Times New Roman" w:hAnsi="Times New Roman" w:cs="Times New Roman"/>
          <w:color w:val="333333"/>
          <w:sz w:val="24"/>
          <w:szCs w:val="24"/>
        </w:rPr>
        <w:t xml:space="preserve">o approach this puzzle we need sociological perspectives. </w:t>
      </w:r>
      <w:r>
        <w:rPr>
          <w:rFonts w:ascii="Times New Roman" w:eastAsia="Times New Roman" w:hAnsi="Times New Roman" w:cs="Times New Roman"/>
          <w:color w:val="333333"/>
          <w:sz w:val="24"/>
          <w:szCs w:val="24"/>
        </w:rPr>
        <w:t>I</w:t>
      </w:r>
      <w:r w:rsidR="00E9422F" w:rsidRPr="003B788D">
        <w:rPr>
          <w:rFonts w:ascii="Times New Roman" w:eastAsia="Times New Roman" w:hAnsi="Times New Roman" w:cs="Times New Roman"/>
          <w:color w:val="333333"/>
          <w:sz w:val="24"/>
          <w:szCs w:val="24"/>
        </w:rPr>
        <w:t>n economics the primary unit</w:t>
      </w:r>
      <w:r>
        <w:rPr>
          <w:rFonts w:ascii="Times New Roman" w:eastAsia="Times New Roman" w:hAnsi="Times New Roman" w:cs="Times New Roman"/>
          <w:color w:val="333333"/>
          <w:sz w:val="24"/>
          <w:szCs w:val="24"/>
        </w:rPr>
        <w:t>s</w:t>
      </w:r>
      <w:r w:rsidR="00E9422F" w:rsidRPr="003B788D">
        <w:rPr>
          <w:rFonts w:ascii="Times New Roman" w:eastAsia="Times New Roman" w:hAnsi="Times New Roman" w:cs="Times New Roman"/>
          <w:color w:val="333333"/>
          <w:sz w:val="24"/>
          <w:szCs w:val="24"/>
        </w:rPr>
        <w:t xml:space="preserve"> of analysis </w:t>
      </w:r>
      <w:r w:rsidR="00E9422F" w:rsidRPr="00E9422F">
        <w:rPr>
          <w:rFonts w:ascii="Times New Roman" w:eastAsia="Times New Roman" w:hAnsi="Times New Roman" w:cs="Times New Roman"/>
          <w:color w:val="333333"/>
          <w:sz w:val="24"/>
          <w:szCs w:val="24"/>
        </w:rPr>
        <w:t>are</w:t>
      </w:r>
      <w:r w:rsidR="00E9422F" w:rsidRPr="003B788D">
        <w:rPr>
          <w:rFonts w:ascii="Times New Roman" w:eastAsia="Times New Roman" w:hAnsi="Times New Roman" w:cs="Times New Roman"/>
          <w:color w:val="333333"/>
          <w:sz w:val="24"/>
          <w:szCs w:val="24"/>
        </w:rPr>
        <w:t xml:space="preserve"> stocks and flows of resources, in sociology the units of analysis are interacting groups of people. </w:t>
      </w:r>
      <w:r w:rsidR="00D10D9F">
        <w:rPr>
          <w:rFonts w:ascii="Times New Roman" w:eastAsia="Times New Roman" w:hAnsi="Times New Roman" w:cs="Times New Roman"/>
          <w:color w:val="333333"/>
          <w:sz w:val="24"/>
          <w:szCs w:val="24"/>
        </w:rPr>
        <w:t>A</w:t>
      </w:r>
      <w:r w:rsidR="00D10D9F" w:rsidRPr="003B788D">
        <w:rPr>
          <w:rFonts w:ascii="Times New Roman" w:eastAsia="Times New Roman" w:hAnsi="Times New Roman" w:cs="Times New Roman"/>
          <w:color w:val="333333"/>
          <w:sz w:val="24"/>
          <w:szCs w:val="24"/>
        </w:rPr>
        <w:t xml:space="preserve"> new story emerges</w:t>
      </w:r>
      <w:r w:rsidR="00D10D9F">
        <w:rPr>
          <w:rFonts w:ascii="Times New Roman" w:eastAsia="Times New Roman" w:hAnsi="Times New Roman" w:cs="Times New Roman"/>
          <w:color w:val="333333"/>
          <w:sz w:val="24"/>
          <w:szCs w:val="24"/>
        </w:rPr>
        <w:t xml:space="preserve"> w</w:t>
      </w:r>
      <w:r w:rsidR="00E9422F" w:rsidRPr="003B788D">
        <w:rPr>
          <w:rFonts w:ascii="Times New Roman" w:eastAsia="Times New Roman" w:hAnsi="Times New Roman" w:cs="Times New Roman"/>
          <w:color w:val="333333"/>
          <w:sz w:val="24"/>
          <w:szCs w:val="24"/>
        </w:rPr>
        <w:t>hen we examine the same global imbalances but change our unit of analys</w:t>
      </w:r>
      <w:r>
        <w:rPr>
          <w:rFonts w:ascii="Times New Roman" w:eastAsia="Times New Roman" w:hAnsi="Times New Roman" w:cs="Times New Roman"/>
          <w:color w:val="333333"/>
          <w:sz w:val="24"/>
          <w:szCs w:val="24"/>
        </w:rPr>
        <w:t>i</w:t>
      </w:r>
      <w:r w:rsidR="00E9422F" w:rsidRPr="003B788D">
        <w:rPr>
          <w:rFonts w:ascii="Times New Roman" w:eastAsia="Times New Roman" w:hAnsi="Times New Roman" w:cs="Times New Roman"/>
          <w:color w:val="333333"/>
          <w:sz w:val="24"/>
          <w:szCs w:val="24"/>
        </w:rPr>
        <w:t>s. </w:t>
      </w:r>
      <w:r w:rsidR="00E9422F" w:rsidRPr="00E9422F">
        <w:rPr>
          <w:rFonts w:ascii="Times New Roman" w:hAnsi="Times New Roman" w:cs="Times New Roman"/>
          <w:sz w:val="24"/>
          <w:szCs w:val="24"/>
        </w:rPr>
        <w:t xml:space="preserve">Internationally, the dollar standard rests on financial and political power asymmetries between the </w:t>
      </w:r>
      <w:r w:rsidR="000014D7">
        <w:rPr>
          <w:rFonts w:ascii="Times New Roman" w:hAnsi="Times New Roman" w:cs="Times New Roman"/>
          <w:sz w:val="24"/>
          <w:szCs w:val="24"/>
        </w:rPr>
        <w:t>US</w:t>
      </w:r>
      <w:r w:rsidR="00E9422F" w:rsidRPr="00E9422F">
        <w:rPr>
          <w:rFonts w:ascii="Times New Roman" w:hAnsi="Times New Roman" w:cs="Times New Roman"/>
          <w:sz w:val="24"/>
          <w:szCs w:val="24"/>
        </w:rPr>
        <w:t xml:space="preserve"> and the rest of the world; domestically, </w:t>
      </w:r>
      <w:r>
        <w:rPr>
          <w:rFonts w:ascii="Times New Roman" w:hAnsi="Times New Roman" w:cs="Times New Roman"/>
          <w:sz w:val="24"/>
          <w:szCs w:val="24"/>
        </w:rPr>
        <w:t>the dollar standard</w:t>
      </w:r>
      <w:r w:rsidR="00E9422F" w:rsidRPr="00E9422F">
        <w:rPr>
          <w:rFonts w:ascii="Times New Roman" w:hAnsi="Times New Roman" w:cs="Times New Roman"/>
          <w:sz w:val="24"/>
          <w:szCs w:val="24"/>
        </w:rPr>
        <w:t xml:space="preserve"> depends on social and political conditions to contain inflation, notably de-unionization trends.</w:t>
      </w:r>
      <w:r w:rsidR="001E59BA">
        <w:rPr>
          <w:rFonts w:ascii="Times New Roman" w:hAnsi="Times New Roman" w:cs="Times New Roman"/>
          <w:sz w:val="24"/>
          <w:szCs w:val="24"/>
        </w:rPr>
        <w:t xml:space="preserve"> </w:t>
      </w:r>
    </w:p>
    <w:p w:rsidR="00E9422F" w:rsidRDefault="00264DED" w:rsidP="002677C2">
      <w:pPr>
        <w:shd w:val="clear" w:color="auto" w:fill="FFFFFF"/>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From this sociological perspective, </w:t>
      </w:r>
      <w:r w:rsidRPr="00E9422F">
        <w:rPr>
          <w:rFonts w:ascii="Times New Roman" w:hAnsi="Times New Roman" w:cs="Times New Roman"/>
          <w:sz w:val="24"/>
          <w:szCs w:val="24"/>
        </w:rPr>
        <w:t xml:space="preserve">the </w:t>
      </w:r>
      <w:r w:rsidR="000014D7">
        <w:rPr>
          <w:rFonts w:ascii="Times New Roman" w:hAnsi="Times New Roman" w:cs="Times New Roman"/>
          <w:sz w:val="24"/>
          <w:szCs w:val="24"/>
        </w:rPr>
        <w:t>US</w:t>
      </w:r>
      <w:r w:rsidRPr="00E9422F">
        <w:rPr>
          <w:rFonts w:ascii="Times New Roman" w:hAnsi="Times New Roman" w:cs="Times New Roman"/>
          <w:sz w:val="24"/>
          <w:szCs w:val="24"/>
        </w:rPr>
        <w:t xml:space="preserve"> will run chronic trade deficits</w:t>
      </w:r>
      <w:r>
        <w:rPr>
          <w:rFonts w:ascii="Times New Roman" w:hAnsi="Times New Roman" w:cs="Times New Roman"/>
          <w:sz w:val="24"/>
          <w:szCs w:val="24"/>
        </w:rPr>
        <w:t xml:space="preserve"> a</w:t>
      </w:r>
      <w:r w:rsidRPr="00E9422F">
        <w:rPr>
          <w:rFonts w:ascii="Times New Roman" w:hAnsi="Times New Roman" w:cs="Times New Roman"/>
          <w:sz w:val="24"/>
          <w:szCs w:val="24"/>
        </w:rPr>
        <w:t>s long as these conditions are present</w:t>
      </w:r>
      <w:r w:rsidR="00E9422F" w:rsidRPr="00E9422F">
        <w:rPr>
          <w:rFonts w:ascii="Times New Roman" w:hAnsi="Times New Roman" w:cs="Times New Roman"/>
          <w:sz w:val="24"/>
          <w:szCs w:val="24"/>
        </w:rPr>
        <w:t>.</w:t>
      </w:r>
      <w:r>
        <w:rPr>
          <w:rFonts w:ascii="Times New Roman" w:hAnsi="Times New Roman" w:cs="Times New Roman"/>
          <w:sz w:val="24"/>
          <w:szCs w:val="24"/>
        </w:rPr>
        <w:t xml:space="preserve"> </w:t>
      </w:r>
      <w:r w:rsidR="00664D5F">
        <w:rPr>
          <w:rFonts w:ascii="Times New Roman" w:hAnsi="Times New Roman" w:cs="Times New Roman"/>
          <w:sz w:val="24"/>
          <w:szCs w:val="24"/>
        </w:rPr>
        <w:t>T</w:t>
      </w:r>
      <w:r>
        <w:rPr>
          <w:rFonts w:ascii="Times New Roman" w:hAnsi="Times New Roman" w:cs="Times New Roman"/>
          <w:sz w:val="24"/>
          <w:szCs w:val="24"/>
        </w:rPr>
        <w:t>hese political conflicts and processes cannot be sufficiently examined quantitatively and there is a need for theory and history</w:t>
      </w:r>
      <w:r w:rsidR="00B1069D">
        <w:rPr>
          <w:rFonts w:ascii="Times New Roman" w:hAnsi="Times New Roman" w:cs="Times New Roman"/>
          <w:sz w:val="24"/>
          <w:szCs w:val="24"/>
        </w:rPr>
        <w:t xml:space="preserve"> to analyze these dynamics</w:t>
      </w:r>
      <w:r>
        <w:rPr>
          <w:rFonts w:ascii="Times New Roman" w:hAnsi="Times New Roman" w:cs="Times New Roman"/>
          <w:sz w:val="24"/>
          <w:szCs w:val="24"/>
        </w:rPr>
        <w:t xml:space="preserve">. </w:t>
      </w:r>
      <w:r w:rsidR="0056032E">
        <w:rPr>
          <w:rFonts w:ascii="Times New Roman" w:eastAsia="Times New Roman" w:hAnsi="Times New Roman" w:cs="Times New Roman"/>
          <w:color w:val="333333"/>
          <w:sz w:val="24"/>
          <w:szCs w:val="24"/>
        </w:rPr>
        <w:t>This article offers the</w:t>
      </w:r>
      <w:r w:rsidR="00E9422F" w:rsidRPr="00E9422F">
        <w:rPr>
          <w:rFonts w:ascii="Times New Roman" w:hAnsi="Times New Roman" w:cs="Times New Roman"/>
          <w:sz w:val="24"/>
          <w:szCs w:val="24"/>
        </w:rPr>
        <w:t xml:space="preserve"> sociology of money </w:t>
      </w:r>
      <w:r w:rsidR="0056032E">
        <w:rPr>
          <w:rFonts w:ascii="Times New Roman" w:hAnsi="Times New Roman" w:cs="Times New Roman"/>
          <w:sz w:val="24"/>
          <w:szCs w:val="24"/>
        </w:rPr>
        <w:t>a</w:t>
      </w:r>
      <w:r w:rsidR="00E9422F" w:rsidRPr="00E9422F">
        <w:rPr>
          <w:rFonts w:ascii="Times New Roman" w:hAnsi="Times New Roman" w:cs="Times New Roman"/>
          <w:sz w:val="24"/>
          <w:szCs w:val="24"/>
        </w:rPr>
        <w:t xml:space="preserve">s </w:t>
      </w:r>
      <w:r w:rsidR="0056032E">
        <w:rPr>
          <w:rFonts w:ascii="Times New Roman" w:hAnsi="Times New Roman" w:cs="Times New Roman"/>
          <w:sz w:val="24"/>
          <w:szCs w:val="24"/>
        </w:rPr>
        <w:t xml:space="preserve">a </w:t>
      </w:r>
      <w:r w:rsidR="00E9422F" w:rsidRPr="00E9422F">
        <w:rPr>
          <w:rFonts w:ascii="Times New Roman" w:hAnsi="Times New Roman" w:cs="Times New Roman"/>
          <w:sz w:val="24"/>
          <w:szCs w:val="24"/>
        </w:rPr>
        <w:t>theory for understanding the dollar standard, which is substantiated with a historical sociological account of the political origins of the dollar standard.</w:t>
      </w:r>
      <w:r w:rsidR="0056032E">
        <w:rPr>
          <w:rFonts w:ascii="Times New Roman" w:hAnsi="Times New Roman" w:cs="Times New Roman"/>
          <w:sz w:val="24"/>
          <w:szCs w:val="24"/>
        </w:rPr>
        <w:t xml:space="preserve"> </w:t>
      </w:r>
      <w:r w:rsidR="00097C58">
        <w:rPr>
          <w:rFonts w:ascii="Times New Roman" w:hAnsi="Times New Roman" w:cs="Times New Roman"/>
          <w:sz w:val="24"/>
          <w:szCs w:val="24"/>
        </w:rPr>
        <w:t xml:space="preserve">These perspectives are necessary to understand the drivers of global imbalances and proposing new approaches for addressing the challenges of </w:t>
      </w:r>
      <w:r w:rsidR="000014D7">
        <w:rPr>
          <w:rFonts w:ascii="Times New Roman" w:hAnsi="Times New Roman" w:cs="Times New Roman"/>
          <w:sz w:val="24"/>
          <w:szCs w:val="24"/>
        </w:rPr>
        <w:t>US</w:t>
      </w:r>
      <w:r w:rsidR="00097C58">
        <w:rPr>
          <w:rFonts w:ascii="Times New Roman" w:hAnsi="Times New Roman" w:cs="Times New Roman"/>
          <w:sz w:val="24"/>
          <w:szCs w:val="24"/>
        </w:rPr>
        <w:t xml:space="preserve"> trade deficits.</w:t>
      </w:r>
    </w:p>
    <w:p w:rsidR="00B1069D" w:rsidRDefault="00B1069D" w:rsidP="002677C2">
      <w:pPr>
        <w:shd w:val="clear" w:color="auto" w:fill="FFFFFF"/>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remainder of the paper proceeds as follows: Part II summarizes the literature on the </w:t>
      </w:r>
      <w:r w:rsidR="00D75403">
        <w:rPr>
          <w:rFonts w:ascii="Times New Roman" w:hAnsi="Times New Roman" w:cs="Times New Roman"/>
          <w:sz w:val="24"/>
          <w:szCs w:val="24"/>
        </w:rPr>
        <w:t>drivers</w:t>
      </w:r>
      <w:r>
        <w:rPr>
          <w:rFonts w:ascii="Times New Roman" w:hAnsi="Times New Roman" w:cs="Times New Roman"/>
          <w:sz w:val="24"/>
          <w:szCs w:val="24"/>
        </w:rPr>
        <w:t xml:space="preserve"> of </w:t>
      </w:r>
      <w:r w:rsidR="000014D7">
        <w:rPr>
          <w:rFonts w:ascii="Times New Roman" w:hAnsi="Times New Roman" w:cs="Times New Roman"/>
          <w:sz w:val="24"/>
          <w:szCs w:val="24"/>
        </w:rPr>
        <w:t>US</w:t>
      </w:r>
      <w:r>
        <w:rPr>
          <w:rFonts w:ascii="Times New Roman" w:hAnsi="Times New Roman" w:cs="Times New Roman"/>
          <w:sz w:val="24"/>
          <w:szCs w:val="24"/>
        </w:rPr>
        <w:t xml:space="preserve"> trade deficits; Part III offers the sociology of money as a theoretical framework for explaining the social and political foundations of the dollar standard; Part IV presents a historical sociological account of the institutionalization of the dollar standard; Part V concludes.</w:t>
      </w:r>
    </w:p>
    <w:p w:rsidR="00B1069D" w:rsidRDefault="00B1069D" w:rsidP="002677C2">
      <w:pPr>
        <w:shd w:val="clear" w:color="auto" w:fill="FFFFFF"/>
        <w:spacing w:after="0" w:line="240" w:lineRule="auto"/>
        <w:ind w:firstLine="720"/>
        <w:contextualSpacing/>
        <w:rPr>
          <w:rFonts w:ascii="Times New Roman" w:hAnsi="Times New Roman" w:cs="Times New Roman"/>
          <w:sz w:val="24"/>
          <w:szCs w:val="24"/>
        </w:rPr>
      </w:pPr>
    </w:p>
    <w:p w:rsidR="00097C58" w:rsidRPr="0056032E" w:rsidRDefault="00097C58" w:rsidP="002677C2">
      <w:pPr>
        <w:shd w:val="clear" w:color="auto" w:fill="FFFFFF"/>
        <w:spacing w:after="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II. Literature on the Dynamics of </w:t>
      </w:r>
      <w:r w:rsidR="000014D7">
        <w:rPr>
          <w:rFonts w:ascii="Times New Roman" w:eastAsia="Times New Roman" w:hAnsi="Times New Roman" w:cs="Times New Roman"/>
          <w:color w:val="333333"/>
          <w:sz w:val="24"/>
          <w:szCs w:val="24"/>
        </w:rPr>
        <w:t>US</w:t>
      </w:r>
      <w:r>
        <w:rPr>
          <w:rFonts w:ascii="Times New Roman" w:eastAsia="Times New Roman" w:hAnsi="Times New Roman" w:cs="Times New Roman"/>
          <w:color w:val="333333"/>
          <w:sz w:val="24"/>
          <w:szCs w:val="24"/>
        </w:rPr>
        <w:t xml:space="preserve"> Trade Deficits and Global Imbalances</w:t>
      </w:r>
    </w:p>
    <w:p w:rsidR="00664D5F" w:rsidRDefault="00664D5F" w:rsidP="002677C2">
      <w:pPr>
        <w:spacing w:after="0" w:line="240" w:lineRule="auto"/>
        <w:ind w:firstLine="720"/>
        <w:contextualSpacing/>
        <w:rPr>
          <w:rFonts w:ascii="Times New Roman" w:hAnsi="Times New Roman" w:cs="Times New Roman"/>
          <w:sz w:val="24"/>
          <w:szCs w:val="24"/>
        </w:rPr>
      </w:pPr>
      <w:r w:rsidRPr="0081099F">
        <w:rPr>
          <w:rFonts w:ascii="Times New Roman" w:hAnsi="Times New Roman" w:cs="Times New Roman"/>
          <w:sz w:val="24"/>
          <w:szCs w:val="24"/>
        </w:rPr>
        <w:t xml:space="preserve">The </w:t>
      </w:r>
      <w:r w:rsidR="000014D7">
        <w:rPr>
          <w:rFonts w:ascii="Times New Roman" w:hAnsi="Times New Roman" w:cs="Times New Roman"/>
          <w:sz w:val="24"/>
          <w:szCs w:val="24"/>
        </w:rPr>
        <w:t>US</w:t>
      </w:r>
      <w:r w:rsidRPr="0081099F">
        <w:rPr>
          <w:rFonts w:ascii="Times New Roman" w:hAnsi="Times New Roman" w:cs="Times New Roman"/>
          <w:sz w:val="24"/>
          <w:szCs w:val="24"/>
        </w:rPr>
        <w:t xml:space="preserve"> runs chronic current account deficits and capital account surpluses with the rest of the world. These imbalances pose two analytical questions. The first, </w:t>
      </w:r>
      <w:r w:rsidR="0043212D">
        <w:rPr>
          <w:rFonts w:ascii="Times New Roman" w:hAnsi="Times New Roman" w:cs="Times New Roman"/>
          <w:sz w:val="24"/>
          <w:szCs w:val="24"/>
        </w:rPr>
        <w:t>why are these imbalances not tending towards equilibrium</w:t>
      </w:r>
      <w:r w:rsidRPr="0081099F">
        <w:rPr>
          <w:rFonts w:ascii="Times New Roman" w:hAnsi="Times New Roman" w:cs="Times New Roman"/>
          <w:sz w:val="24"/>
          <w:szCs w:val="24"/>
        </w:rPr>
        <w:t>?</w:t>
      </w:r>
      <w:r>
        <w:rPr>
          <w:rFonts w:ascii="Times New Roman" w:hAnsi="Times New Roman" w:cs="Times New Roman"/>
          <w:sz w:val="24"/>
          <w:szCs w:val="24"/>
        </w:rPr>
        <w:t xml:space="preserve"> The second, </w:t>
      </w:r>
      <w:r w:rsidRPr="0081099F">
        <w:rPr>
          <w:rFonts w:ascii="Times New Roman" w:hAnsi="Times New Roman" w:cs="Times New Roman"/>
          <w:sz w:val="24"/>
          <w:szCs w:val="24"/>
        </w:rPr>
        <w:t xml:space="preserve">why does the </w:t>
      </w:r>
      <w:r w:rsidR="000014D7">
        <w:rPr>
          <w:rFonts w:ascii="Times New Roman" w:hAnsi="Times New Roman" w:cs="Times New Roman"/>
          <w:sz w:val="24"/>
          <w:szCs w:val="24"/>
        </w:rPr>
        <w:t>US</w:t>
      </w:r>
      <w:r w:rsidRPr="0081099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64D5F">
        <w:rPr>
          <w:rFonts w:ascii="Times New Roman" w:hAnsi="Times New Roman" w:cs="Times New Roman"/>
          <w:i/>
          <w:sz w:val="24"/>
          <w:szCs w:val="24"/>
        </w:rPr>
        <w:t>only</w:t>
      </w:r>
      <w:r>
        <w:rPr>
          <w:rFonts w:ascii="Times New Roman" w:hAnsi="Times New Roman" w:cs="Times New Roman"/>
          <w:sz w:val="24"/>
          <w:szCs w:val="24"/>
        </w:rPr>
        <w:t xml:space="preserve"> the </w:t>
      </w:r>
      <w:r w:rsidR="000014D7">
        <w:rPr>
          <w:rFonts w:ascii="Times New Roman" w:hAnsi="Times New Roman" w:cs="Times New Roman"/>
          <w:sz w:val="24"/>
          <w:szCs w:val="24"/>
        </w:rPr>
        <w:t>US</w:t>
      </w:r>
      <w:r>
        <w:rPr>
          <w:rFonts w:ascii="Times New Roman" w:hAnsi="Times New Roman" w:cs="Times New Roman"/>
          <w:sz w:val="24"/>
          <w:szCs w:val="24"/>
        </w:rPr>
        <w:t xml:space="preserve">) </w:t>
      </w:r>
      <w:r w:rsidRPr="0081099F">
        <w:rPr>
          <w:rFonts w:ascii="Times New Roman" w:hAnsi="Times New Roman" w:cs="Times New Roman"/>
          <w:sz w:val="24"/>
          <w:szCs w:val="24"/>
        </w:rPr>
        <w:t xml:space="preserve">have the unique ability to finance perpetual current account deficits with capital account surpluses? </w:t>
      </w:r>
      <w:r>
        <w:rPr>
          <w:rFonts w:ascii="Times New Roman" w:hAnsi="Times New Roman" w:cs="Times New Roman"/>
          <w:sz w:val="24"/>
          <w:szCs w:val="24"/>
        </w:rPr>
        <w:t xml:space="preserve">These questions have been debated by political economists for decades and this section summarizes those discussions with the goal of identifying </w:t>
      </w:r>
      <w:r w:rsidR="00702BD4">
        <w:rPr>
          <w:rFonts w:ascii="Times New Roman" w:hAnsi="Times New Roman" w:cs="Times New Roman"/>
          <w:sz w:val="24"/>
          <w:szCs w:val="24"/>
        </w:rPr>
        <w:t xml:space="preserve">the </w:t>
      </w:r>
      <w:r>
        <w:rPr>
          <w:rFonts w:ascii="Times New Roman" w:hAnsi="Times New Roman" w:cs="Times New Roman"/>
          <w:sz w:val="24"/>
          <w:szCs w:val="24"/>
        </w:rPr>
        <w:t xml:space="preserve">drivers of </w:t>
      </w:r>
      <w:r w:rsidR="000014D7">
        <w:rPr>
          <w:rFonts w:ascii="Times New Roman" w:hAnsi="Times New Roman" w:cs="Times New Roman"/>
          <w:sz w:val="24"/>
          <w:szCs w:val="24"/>
        </w:rPr>
        <w:t>US</w:t>
      </w:r>
      <w:r>
        <w:rPr>
          <w:rFonts w:ascii="Times New Roman" w:hAnsi="Times New Roman" w:cs="Times New Roman"/>
          <w:sz w:val="24"/>
          <w:szCs w:val="24"/>
        </w:rPr>
        <w:t xml:space="preserve"> trade deficits.</w:t>
      </w:r>
    </w:p>
    <w:p w:rsidR="00664D5F" w:rsidRDefault="00664D5F" w:rsidP="002677C2">
      <w:pPr>
        <w:spacing w:after="0" w:line="240" w:lineRule="auto"/>
        <w:ind w:firstLine="720"/>
        <w:contextualSpacing/>
        <w:rPr>
          <w:rFonts w:ascii="Times New Roman" w:hAnsi="Times New Roman" w:cs="Times New Roman"/>
          <w:sz w:val="24"/>
          <w:szCs w:val="24"/>
        </w:rPr>
      </w:pPr>
    </w:p>
    <w:p w:rsidR="00702BD4" w:rsidRDefault="00702BD4" w:rsidP="002677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II.A. The </w:t>
      </w:r>
      <w:r w:rsidR="000014D7">
        <w:rPr>
          <w:rFonts w:ascii="Times New Roman" w:hAnsi="Times New Roman" w:cs="Times New Roman"/>
          <w:sz w:val="24"/>
          <w:szCs w:val="24"/>
        </w:rPr>
        <w:t>US</w:t>
      </w:r>
      <w:r>
        <w:rPr>
          <w:rFonts w:ascii="Times New Roman" w:hAnsi="Times New Roman" w:cs="Times New Roman"/>
          <w:sz w:val="24"/>
          <w:szCs w:val="24"/>
        </w:rPr>
        <w:t xml:space="preserve"> Spending and the Rest of the World Saving</w:t>
      </w:r>
    </w:p>
    <w:p w:rsidR="00702BD4" w:rsidRPr="006531B4" w:rsidRDefault="00A762C5" w:rsidP="002677C2">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lastRenderedPageBreak/>
        <w:t xml:space="preserve">The </w:t>
      </w:r>
      <w:r w:rsidR="000014D7">
        <w:rPr>
          <w:rFonts w:ascii="Times New Roman" w:hAnsi="Times New Roman" w:cs="Times New Roman"/>
          <w:i/>
          <w:sz w:val="24"/>
          <w:szCs w:val="24"/>
        </w:rPr>
        <w:t>US</w:t>
      </w:r>
      <w:r w:rsidR="006531B4" w:rsidRPr="006531B4">
        <w:rPr>
          <w:rFonts w:ascii="Times New Roman" w:hAnsi="Times New Roman" w:cs="Times New Roman"/>
          <w:i/>
          <w:sz w:val="24"/>
          <w:szCs w:val="24"/>
        </w:rPr>
        <w:t xml:space="preserve"> Spending</w:t>
      </w:r>
    </w:p>
    <w:p w:rsidR="00F91772" w:rsidRDefault="00567CD0" w:rsidP="002677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6531B4">
        <w:rPr>
          <w:rFonts w:ascii="Times New Roman" w:hAnsi="Times New Roman" w:cs="Times New Roman"/>
          <w:sz w:val="24"/>
          <w:szCs w:val="24"/>
        </w:rPr>
        <w:t xml:space="preserve">he </w:t>
      </w:r>
      <w:r w:rsidR="000014D7">
        <w:rPr>
          <w:rFonts w:ascii="Times New Roman" w:hAnsi="Times New Roman" w:cs="Times New Roman"/>
          <w:sz w:val="24"/>
          <w:szCs w:val="24"/>
        </w:rPr>
        <w:t>US</w:t>
      </w:r>
      <w:r w:rsidR="006531B4">
        <w:rPr>
          <w:rFonts w:ascii="Times New Roman" w:hAnsi="Times New Roman" w:cs="Times New Roman"/>
          <w:sz w:val="24"/>
          <w:szCs w:val="24"/>
        </w:rPr>
        <w:t xml:space="preserve"> run</w:t>
      </w:r>
      <w:r>
        <w:rPr>
          <w:rFonts w:ascii="Times New Roman" w:hAnsi="Times New Roman" w:cs="Times New Roman"/>
          <w:sz w:val="24"/>
          <w:szCs w:val="24"/>
        </w:rPr>
        <w:t>s</w:t>
      </w:r>
      <w:r w:rsidR="006531B4">
        <w:rPr>
          <w:rFonts w:ascii="Times New Roman" w:hAnsi="Times New Roman" w:cs="Times New Roman"/>
          <w:sz w:val="24"/>
          <w:szCs w:val="24"/>
        </w:rPr>
        <w:t xml:space="preserve"> a trade deficit with the rest of the world</w:t>
      </w:r>
      <w:r>
        <w:rPr>
          <w:rFonts w:ascii="Times New Roman" w:hAnsi="Times New Roman" w:cs="Times New Roman"/>
          <w:sz w:val="24"/>
          <w:szCs w:val="24"/>
        </w:rPr>
        <w:t xml:space="preserve"> when</w:t>
      </w:r>
      <w:r w:rsidR="006531B4">
        <w:rPr>
          <w:rFonts w:ascii="Times New Roman" w:hAnsi="Times New Roman" w:cs="Times New Roman"/>
          <w:sz w:val="24"/>
          <w:szCs w:val="24"/>
        </w:rPr>
        <w:t xml:space="preserve"> the </w:t>
      </w:r>
      <w:r w:rsidR="000014D7">
        <w:rPr>
          <w:rFonts w:ascii="Times New Roman" w:hAnsi="Times New Roman" w:cs="Times New Roman"/>
          <w:sz w:val="24"/>
          <w:szCs w:val="24"/>
        </w:rPr>
        <w:t>US</w:t>
      </w:r>
      <w:r w:rsidR="006531B4">
        <w:rPr>
          <w:rFonts w:ascii="Times New Roman" w:hAnsi="Times New Roman" w:cs="Times New Roman"/>
          <w:sz w:val="24"/>
          <w:szCs w:val="24"/>
        </w:rPr>
        <w:t xml:space="preserve"> buy</w:t>
      </w:r>
      <w:r>
        <w:rPr>
          <w:rFonts w:ascii="Times New Roman" w:hAnsi="Times New Roman" w:cs="Times New Roman"/>
          <w:sz w:val="24"/>
          <w:szCs w:val="24"/>
        </w:rPr>
        <w:t>s</w:t>
      </w:r>
      <w:r w:rsidR="006531B4">
        <w:rPr>
          <w:rFonts w:ascii="Times New Roman" w:hAnsi="Times New Roman" w:cs="Times New Roman"/>
          <w:sz w:val="24"/>
          <w:szCs w:val="24"/>
        </w:rPr>
        <w:t xml:space="preserve"> </w:t>
      </w:r>
      <w:r w:rsidR="00DB0E89">
        <w:rPr>
          <w:rFonts w:ascii="Times New Roman" w:hAnsi="Times New Roman" w:cs="Times New Roman"/>
          <w:sz w:val="24"/>
          <w:szCs w:val="24"/>
        </w:rPr>
        <w:t>goods and services</w:t>
      </w:r>
      <w:r w:rsidR="006531B4">
        <w:rPr>
          <w:rFonts w:ascii="Times New Roman" w:hAnsi="Times New Roman" w:cs="Times New Roman"/>
          <w:sz w:val="24"/>
          <w:szCs w:val="24"/>
        </w:rPr>
        <w:t xml:space="preserve"> from the rest of the world and then the rest of the world </w:t>
      </w:r>
      <w:r>
        <w:rPr>
          <w:rFonts w:ascii="Times New Roman" w:hAnsi="Times New Roman" w:cs="Times New Roman"/>
          <w:sz w:val="24"/>
          <w:szCs w:val="24"/>
        </w:rPr>
        <w:t>decides to</w:t>
      </w:r>
      <w:r w:rsidR="006531B4">
        <w:rPr>
          <w:rFonts w:ascii="Times New Roman" w:hAnsi="Times New Roman" w:cs="Times New Roman"/>
          <w:sz w:val="24"/>
          <w:szCs w:val="24"/>
        </w:rPr>
        <w:t xml:space="preserve"> save that income rather than spend it on </w:t>
      </w:r>
      <w:r w:rsidR="000014D7">
        <w:rPr>
          <w:rFonts w:ascii="Times New Roman" w:hAnsi="Times New Roman" w:cs="Times New Roman"/>
          <w:sz w:val="24"/>
          <w:szCs w:val="24"/>
        </w:rPr>
        <w:t>US</w:t>
      </w:r>
      <w:r w:rsidR="006531B4">
        <w:rPr>
          <w:rFonts w:ascii="Times New Roman" w:hAnsi="Times New Roman" w:cs="Times New Roman"/>
          <w:sz w:val="24"/>
          <w:szCs w:val="24"/>
        </w:rPr>
        <w:t xml:space="preserve"> goods and services. Therefore, there are two steps</w:t>
      </w:r>
      <w:r>
        <w:rPr>
          <w:rFonts w:ascii="Times New Roman" w:hAnsi="Times New Roman" w:cs="Times New Roman"/>
          <w:sz w:val="24"/>
          <w:szCs w:val="24"/>
        </w:rPr>
        <w:t xml:space="preserve"> -</w:t>
      </w:r>
      <w:r w:rsidR="006531B4">
        <w:rPr>
          <w:rFonts w:ascii="Times New Roman" w:hAnsi="Times New Roman" w:cs="Times New Roman"/>
          <w:sz w:val="24"/>
          <w:szCs w:val="24"/>
        </w:rPr>
        <w:t xml:space="preserve"> the </w:t>
      </w:r>
      <w:r w:rsidR="000014D7">
        <w:rPr>
          <w:rFonts w:ascii="Times New Roman" w:hAnsi="Times New Roman" w:cs="Times New Roman"/>
          <w:sz w:val="24"/>
          <w:szCs w:val="24"/>
        </w:rPr>
        <w:t>US</w:t>
      </w:r>
      <w:r w:rsidR="006531B4">
        <w:rPr>
          <w:rFonts w:ascii="Times New Roman" w:hAnsi="Times New Roman" w:cs="Times New Roman"/>
          <w:sz w:val="24"/>
          <w:szCs w:val="24"/>
        </w:rPr>
        <w:t xml:space="preserve"> spending and the rest of the world saving. The economics literature generally takes three different approaches to explaining </w:t>
      </w:r>
      <w:r w:rsidR="000014D7">
        <w:rPr>
          <w:rFonts w:ascii="Times New Roman" w:hAnsi="Times New Roman" w:cs="Times New Roman"/>
          <w:sz w:val="24"/>
          <w:szCs w:val="24"/>
        </w:rPr>
        <w:t>US</w:t>
      </w:r>
      <w:r w:rsidR="006531B4">
        <w:rPr>
          <w:rFonts w:ascii="Times New Roman" w:hAnsi="Times New Roman" w:cs="Times New Roman"/>
          <w:sz w:val="24"/>
          <w:szCs w:val="24"/>
        </w:rPr>
        <w:t xml:space="preserve"> spending – the saving imbalance hypotheses, the new geography of production, and unfair </w:t>
      </w:r>
      <w:r w:rsidR="00DB0E89">
        <w:rPr>
          <w:rFonts w:ascii="Times New Roman" w:hAnsi="Times New Roman" w:cs="Times New Roman"/>
          <w:sz w:val="24"/>
          <w:szCs w:val="24"/>
        </w:rPr>
        <w:t xml:space="preserve">trade </w:t>
      </w:r>
      <w:r w:rsidR="006531B4">
        <w:rPr>
          <w:rFonts w:ascii="Times New Roman" w:hAnsi="Times New Roman" w:cs="Times New Roman"/>
          <w:sz w:val="24"/>
          <w:szCs w:val="24"/>
        </w:rPr>
        <w:t>competition.</w:t>
      </w:r>
    </w:p>
    <w:p w:rsidR="006531B4" w:rsidRDefault="00F91772" w:rsidP="002677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savings imbalances approach begins with the concept of intertemporal trade, which is the exchange of some goods in the present for goods in the future </w:t>
      </w:r>
      <w:r>
        <w:rPr>
          <w:rFonts w:ascii="Times New Roman" w:eastAsia="Times New Roman" w:hAnsi="Times New Roman" w:cs="Times New Roman"/>
          <w:color w:val="000000"/>
          <w:sz w:val="24"/>
          <w:szCs w:val="24"/>
        </w:rPr>
        <w:t>(Krugman et. al. 2012: 111-136)</w:t>
      </w:r>
      <w:r>
        <w:rPr>
          <w:rFonts w:ascii="Times New Roman" w:hAnsi="Times New Roman" w:cs="Times New Roman"/>
          <w:sz w:val="24"/>
          <w:szCs w:val="24"/>
        </w:rPr>
        <w:t xml:space="preserve">. Some countries chose to consume now and borrow to do so, other countries chose to consumer more later and lend to do so. </w:t>
      </w:r>
      <w:r w:rsidR="00A762C5">
        <w:rPr>
          <w:rFonts w:ascii="Times New Roman" w:hAnsi="Times New Roman" w:cs="Times New Roman"/>
          <w:sz w:val="24"/>
          <w:szCs w:val="24"/>
        </w:rPr>
        <w:t>In this schema</w:t>
      </w:r>
      <w:r>
        <w:rPr>
          <w:rFonts w:ascii="Times New Roman" w:hAnsi="Times New Roman" w:cs="Times New Roman"/>
          <w:sz w:val="24"/>
          <w:szCs w:val="24"/>
        </w:rPr>
        <w:t xml:space="preserve"> the </w:t>
      </w:r>
      <w:r w:rsidR="000014D7">
        <w:rPr>
          <w:rFonts w:ascii="Times New Roman" w:hAnsi="Times New Roman" w:cs="Times New Roman"/>
          <w:sz w:val="24"/>
          <w:szCs w:val="24"/>
        </w:rPr>
        <w:t>US</w:t>
      </w:r>
      <w:r>
        <w:rPr>
          <w:rFonts w:ascii="Times New Roman" w:hAnsi="Times New Roman" w:cs="Times New Roman"/>
          <w:sz w:val="24"/>
          <w:szCs w:val="24"/>
        </w:rPr>
        <w:t xml:space="preserve"> trade deficit is caused by the </w:t>
      </w:r>
      <w:r w:rsidR="000014D7">
        <w:rPr>
          <w:rFonts w:ascii="Times New Roman" w:hAnsi="Times New Roman" w:cs="Times New Roman"/>
          <w:sz w:val="24"/>
          <w:szCs w:val="24"/>
        </w:rPr>
        <w:t>US</w:t>
      </w:r>
      <w:r>
        <w:rPr>
          <w:rFonts w:ascii="Times New Roman" w:hAnsi="Times New Roman" w:cs="Times New Roman"/>
          <w:sz w:val="24"/>
          <w:szCs w:val="24"/>
        </w:rPr>
        <w:t xml:space="preserve"> dissaving - the </w:t>
      </w:r>
      <w:r w:rsidR="000014D7">
        <w:rPr>
          <w:rFonts w:ascii="Times New Roman" w:hAnsi="Times New Roman" w:cs="Times New Roman"/>
          <w:sz w:val="24"/>
          <w:szCs w:val="24"/>
        </w:rPr>
        <w:t>US</w:t>
      </w:r>
      <w:r>
        <w:rPr>
          <w:rFonts w:ascii="Times New Roman" w:hAnsi="Times New Roman" w:cs="Times New Roman"/>
          <w:sz w:val="24"/>
          <w:szCs w:val="24"/>
        </w:rPr>
        <w:t xml:space="preserve"> is an “impatient” nation that wants to consume now and goes into debt with the rest of the world to do so</w:t>
      </w:r>
      <w:r w:rsidR="00A762C5">
        <w:rPr>
          <w:rFonts w:ascii="Times New Roman" w:hAnsi="Times New Roman" w:cs="Times New Roman"/>
          <w:sz w:val="24"/>
          <w:szCs w:val="24"/>
        </w:rPr>
        <w:t xml:space="preserve"> (Griswold 1998). The most sophisticated version of this narrative was advanced by Federal Reserve Chairman Ben Bernanke in his 2005 talk, “The Global Saving Glut and the </w:t>
      </w:r>
      <w:r w:rsidR="000014D7">
        <w:rPr>
          <w:rFonts w:ascii="Times New Roman" w:hAnsi="Times New Roman" w:cs="Times New Roman"/>
          <w:sz w:val="24"/>
          <w:szCs w:val="24"/>
        </w:rPr>
        <w:t>US</w:t>
      </w:r>
      <w:r w:rsidR="00A762C5">
        <w:rPr>
          <w:rFonts w:ascii="Times New Roman" w:hAnsi="Times New Roman" w:cs="Times New Roman"/>
          <w:sz w:val="24"/>
          <w:szCs w:val="24"/>
        </w:rPr>
        <w:t xml:space="preserve"> Current Account Deficit.” Bernanke a</w:t>
      </w:r>
      <w:r w:rsidR="00802611">
        <w:rPr>
          <w:rFonts w:ascii="Times New Roman" w:hAnsi="Times New Roman" w:cs="Times New Roman"/>
          <w:sz w:val="24"/>
          <w:szCs w:val="24"/>
        </w:rPr>
        <w:t xml:space="preserve">ttributed the growing trade deficit to a global savings glut </w:t>
      </w:r>
      <w:r w:rsidR="001E59BA">
        <w:rPr>
          <w:rFonts w:ascii="Times New Roman" w:hAnsi="Times New Roman" w:cs="Times New Roman"/>
          <w:sz w:val="24"/>
          <w:szCs w:val="24"/>
        </w:rPr>
        <w:t>characterized by</w:t>
      </w:r>
      <w:r w:rsidR="00C07CED">
        <w:rPr>
          <w:rFonts w:ascii="Times New Roman" w:hAnsi="Times New Roman" w:cs="Times New Roman"/>
          <w:sz w:val="24"/>
          <w:szCs w:val="24"/>
        </w:rPr>
        <w:t xml:space="preserve"> </w:t>
      </w:r>
      <w:r w:rsidR="001E59BA">
        <w:rPr>
          <w:rFonts w:ascii="Times New Roman" w:hAnsi="Times New Roman" w:cs="Times New Roman"/>
          <w:sz w:val="24"/>
          <w:szCs w:val="24"/>
        </w:rPr>
        <w:t xml:space="preserve">a transformation of </w:t>
      </w:r>
      <w:r w:rsidR="00C07CED">
        <w:rPr>
          <w:rFonts w:ascii="Times New Roman" w:hAnsi="Times New Roman" w:cs="Times New Roman"/>
          <w:sz w:val="24"/>
          <w:szCs w:val="24"/>
        </w:rPr>
        <w:t>developing countries from net borrowers to net lenders (2005).</w:t>
      </w:r>
    </w:p>
    <w:p w:rsidR="00702BD4" w:rsidRDefault="00B3574E" w:rsidP="002677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 second approach is based on the emergence of cross-border supply chains and the new geography of production. Certainly, each bilateral trade deficit is unique, but many bilateral trade deficits are the result of</w:t>
      </w:r>
      <w:r w:rsidR="00DB0E89">
        <w:rPr>
          <w:rFonts w:ascii="Times New Roman" w:hAnsi="Times New Roman" w:cs="Times New Roman"/>
          <w:sz w:val="24"/>
          <w:szCs w:val="24"/>
        </w:rPr>
        <w:t xml:space="preserve"> vertically-integrated </w:t>
      </w:r>
      <w:r w:rsidR="00D81A79">
        <w:rPr>
          <w:rFonts w:ascii="Times New Roman" w:hAnsi="Times New Roman" w:cs="Times New Roman"/>
          <w:sz w:val="24"/>
          <w:szCs w:val="24"/>
        </w:rPr>
        <w:t>supply chains</w:t>
      </w:r>
      <w:r w:rsidR="00DB0E89">
        <w:rPr>
          <w:rFonts w:ascii="Times New Roman" w:hAnsi="Times New Roman" w:cs="Times New Roman"/>
          <w:sz w:val="24"/>
          <w:szCs w:val="24"/>
        </w:rPr>
        <w:t xml:space="preserve">. </w:t>
      </w:r>
      <w:r w:rsidR="00D81A79">
        <w:rPr>
          <w:rFonts w:ascii="Times New Roman" w:hAnsi="Times New Roman" w:cs="Times New Roman"/>
          <w:sz w:val="24"/>
          <w:szCs w:val="24"/>
        </w:rPr>
        <w:t>The case of Mexico is illustrative</w:t>
      </w:r>
      <w:r w:rsidR="001F737F">
        <w:rPr>
          <w:rFonts w:ascii="Times New Roman" w:hAnsi="Times New Roman" w:cs="Times New Roman"/>
          <w:sz w:val="24"/>
          <w:szCs w:val="24"/>
        </w:rPr>
        <w:t xml:space="preserve">. In 2000, approximately two-thirds of </w:t>
      </w:r>
      <w:r w:rsidR="000014D7">
        <w:rPr>
          <w:rFonts w:ascii="Times New Roman" w:hAnsi="Times New Roman" w:cs="Times New Roman"/>
          <w:sz w:val="24"/>
          <w:szCs w:val="24"/>
        </w:rPr>
        <w:t>US</w:t>
      </w:r>
      <w:r w:rsidR="001F737F">
        <w:rPr>
          <w:rFonts w:ascii="Times New Roman" w:hAnsi="Times New Roman" w:cs="Times New Roman"/>
          <w:sz w:val="24"/>
          <w:szCs w:val="24"/>
        </w:rPr>
        <w:t xml:space="preserve"> manufacturing imports from Mexico were intra-firm transactions, although that figure had reduced to over one half by 2017 (Lakatos &amp; </w:t>
      </w:r>
      <w:proofErr w:type="spellStart"/>
      <w:r w:rsidR="001F737F">
        <w:rPr>
          <w:rFonts w:ascii="Times New Roman" w:hAnsi="Times New Roman" w:cs="Times New Roman"/>
          <w:sz w:val="24"/>
          <w:szCs w:val="24"/>
        </w:rPr>
        <w:t>Ohnsorge</w:t>
      </w:r>
      <w:proofErr w:type="spellEnd"/>
      <w:r w:rsidR="001F737F">
        <w:rPr>
          <w:rFonts w:ascii="Times New Roman" w:hAnsi="Times New Roman" w:cs="Times New Roman"/>
          <w:sz w:val="24"/>
          <w:szCs w:val="24"/>
        </w:rPr>
        <w:t xml:space="preserve">, 2017). A range of manufacturing industries, especially autos, are vertically integrated with Mexican subsidiaries and suppliers, especially along the </w:t>
      </w:r>
      <w:r w:rsidR="000014D7">
        <w:rPr>
          <w:rFonts w:ascii="Times New Roman" w:hAnsi="Times New Roman" w:cs="Times New Roman"/>
          <w:sz w:val="24"/>
          <w:szCs w:val="24"/>
        </w:rPr>
        <w:t>US</w:t>
      </w:r>
      <w:r w:rsidR="001F737F">
        <w:rPr>
          <w:rFonts w:ascii="Times New Roman" w:hAnsi="Times New Roman" w:cs="Times New Roman"/>
          <w:sz w:val="24"/>
          <w:szCs w:val="24"/>
        </w:rPr>
        <w:t>-Mexico border</w:t>
      </w:r>
      <w:r w:rsidR="00AD43E8">
        <w:rPr>
          <w:rFonts w:ascii="Times New Roman" w:hAnsi="Times New Roman" w:cs="Times New Roman"/>
          <w:sz w:val="24"/>
          <w:szCs w:val="24"/>
        </w:rPr>
        <w:t xml:space="preserve">. In fact, most of the </w:t>
      </w:r>
      <w:r w:rsidR="000014D7">
        <w:rPr>
          <w:rFonts w:ascii="Times New Roman" w:hAnsi="Times New Roman" w:cs="Times New Roman"/>
          <w:sz w:val="24"/>
          <w:szCs w:val="24"/>
        </w:rPr>
        <w:t>US</w:t>
      </w:r>
      <w:r w:rsidR="00AD43E8">
        <w:rPr>
          <w:rFonts w:ascii="Times New Roman" w:hAnsi="Times New Roman" w:cs="Times New Roman"/>
          <w:sz w:val="24"/>
          <w:szCs w:val="24"/>
        </w:rPr>
        <w:t xml:space="preserve"> trade deficit with Mexico is accounted for by autos (</w:t>
      </w:r>
      <w:r w:rsidR="00AD43E8" w:rsidRPr="00AD43E8">
        <w:rPr>
          <w:rFonts w:ascii="Times New Roman" w:hAnsi="Times New Roman" w:cs="Times New Roman"/>
          <w:sz w:val="24"/>
          <w:szCs w:val="24"/>
        </w:rPr>
        <w:t>Gillespie</w:t>
      </w:r>
      <w:r w:rsidR="00AD43E8">
        <w:rPr>
          <w:rFonts w:ascii="Times New Roman" w:hAnsi="Times New Roman" w:cs="Times New Roman"/>
          <w:sz w:val="24"/>
          <w:szCs w:val="24"/>
        </w:rPr>
        <w:t xml:space="preserve"> 2017). Some </w:t>
      </w:r>
      <w:r w:rsidR="009F650E">
        <w:rPr>
          <w:rFonts w:ascii="Times New Roman" w:hAnsi="Times New Roman" w:cs="Times New Roman"/>
          <w:sz w:val="24"/>
          <w:szCs w:val="24"/>
        </w:rPr>
        <w:t xml:space="preserve">bilateral </w:t>
      </w:r>
      <w:r w:rsidR="000014D7">
        <w:rPr>
          <w:rFonts w:ascii="Times New Roman" w:hAnsi="Times New Roman" w:cs="Times New Roman"/>
          <w:sz w:val="24"/>
          <w:szCs w:val="24"/>
        </w:rPr>
        <w:t>US</w:t>
      </w:r>
      <w:r w:rsidR="00AD43E8">
        <w:rPr>
          <w:rFonts w:ascii="Times New Roman" w:hAnsi="Times New Roman" w:cs="Times New Roman"/>
          <w:sz w:val="24"/>
          <w:szCs w:val="24"/>
        </w:rPr>
        <w:t xml:space="preserve"> trade deficits merely reflect these production networks.</w:t>
      </w:r>
    </w:p>
    <w:p w:rsidR="00A762C5" w:rsidRDefault="00F91772"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AD43E8">
        <w:rPr>
          <w:rFonts w:ascii="Times New Roman" w:hAnsi="Times New Roman" w:cs="Times New Roman"/>
          <w:sz w:val="24"/>
          <w:szCs w:val="24"/>
        </w:rPr>
        <w:t>third</w:t>
      </w:r>
      <w:r>
        <w:rPr>
          <w:rFonts w:ascii="Times New Roman" w:hAnsi="Times New Roman" w:cs="Times New Roman"/>
          <w:sz w:val="24"/>
          <w:szCs w:val="24"/>
        </w:rPr>
        <w:t xml:space="preserve"> major explanation for the </w:t>
      </w:r>
      <w:r w:rsidR="000014D7">
        <w:rPr>
          <w:rFonts w:ascii="Times New Roman" w:hAnsi="Times New Roman" w:cs="Times New Roman"/>
          <w:sz w:val="24"/>
          <w:szCs w:val="24"/>
        </w:rPr>
        <w:t>US</w:t>
      </w:r>
      <w:r>
        <w:rPr>
          <w:rFonts w:ascii="Times New Roman" w:hAnsi="Times New Roman" w:cs="Times New Roman"/>
          <w:sz w:val="24"/>
          <w:szCs w:val="24"/>
        </w:rPr>
        <w:t xml:space="preserve"> trade deficit is shifting industrial competition from the developing world. The majority of the </w:t>
      </w:r>
      <w:r w:rsidR="001E59BA">
        <w:rPr>
          <w:rFonts w:ascii="Times New Roman" w:hAnsi="Times New Roman" w:cs="Times New Roman"/>
          <w:sz w:val="24"/>
          <w:szCs w:val="24"/>
        </w:rPr>
        <w:t xml:space="preserve">total </w:t>
      </w:r>
      <w:r w:rsidR="000014D7">
        <w:rPr>
          <w:rFonts w:ascii="Times New Roman" w:hAnsi="Times New Roman" w:cs="Times New Roman"/>
          <w:sz w:val="24"/>
          <w:szCs w:val="24"/>
        </w:rPr>
        <w:t>US</w:t>
      </w:r>
      <w:r>
        <w:rPr>
          <w:rFonts w:ascii="Times New Roman" w:hAnsi="Times New Roman" w:cs="Times New Roman"/>
          <w:sz w:val="24"/>
          <w:szCs w:val="24"/>
        </w:rPr>
        <w:t xml:space="preserve"> goods deficit is accounted for by merchandise imports from China. Two prominent examples are information technology and telecommunications equipment, </w:t>
      </w:r>
      <w:r w:rsidR="001E59BA">
        <w:rPr>
          <w:rFonts w:ascii="Times New Roman" w:hAnsi="Times New Roman" w:cs="Times New Roman"/>
          <w:sz w:val="24"/>
          <w:szCs w:val="24"/>
        </w:rPr>
        <w:t xml:space="preserve">in less than two decades </w:t>
      </w:r>
      <w:r>
        <w:rPr>
          <w:rFonts w:ascii="Times New Roman" w:hAnsi="Times New Roman" w:cs="Times New Roman"/>
          <w:sz w:val="24"/>
          <w:szCs w:val="24"/>
        </w:rPr>
        <w:t xml:space="preserve">China </w:t>
      </w:r>
      <w:r w:rsidR="009F650E">
        <w:rPr>
          <w:rFonts w:ascii="Times New Roman" w:hAnsi="Times New Roman" w:cs="Times New Roman"/>
          <w:sz w:val="24"/>
          <w:szCs w:val="24"/>
        </w:rPr>
        <w:t>became a global leader in these industries as</w:t>
      </w:r>
      <w:r>
        <w:rPr>
          <w:rFonts w:ascii="Times New Roman" w:hAnsi="Times New Roman" w:cs="Times New Roman"/>
          <w:sz w:val="24"/>
          <w:szCs w:val="24"/>
        </w:rPr>
        <w:t xml:space="preserve"> </w:t>
      </w:r>
      <w:r w:rsidR="000014D7">
        <w:rPr>
          <w:rFonts w:ascii="Times New Roman" w:hAnsi="Times New Roman" w:cs="Times New Roman"/>
          <w:sz w:val="24"/>
          <w:szCs w:val="24"/>
        </w:rPr>
        <w:t>US</w:t>
      </w:r>
      <w:r>
        <w:rPr>
          <w:rFonts w:ascii="Times New Roman" w:hAnsi="Times New Roman" w:cs="Times New Roman"/>
          <w:sz w:val="24"/>
          <w:szCs w:val="24"/>
        </w:rPr>
        <w:t xml:space="preserve"> </w:t>
      </w:r>
      <w:r w:rsidR="009F650E">
        <w:rPr>
          <w:rFonts w:ascii="Times New Roman" w:hAnsi="Times New Roman" w:cs="Times New Roman"/>
          <w:sz w:val="24"/>
          <w:szCs w:val="24"/>
        </w:rPr>
        <w:t xml:space="preserve">market </w:t>
      </w:r>
      <w:r>
        <w:rPr>
          <w:rFonts w:ascii="Times New Roman" w:hAnsi="Times New Roman" w:cs="Times New Roman"/>
          <w:sz w:val="24"/>
          <w:szCs w:val="24"/>
        </w:rPr>
        <w:t>shares shrank</w:t>
      </w:r>
      <w:r w:rsidR="009F650E">
        <w:rPr>
          <w:rFonts w:ascii="Times New Roman" w:hAnsi="Times New Roman" w:cs="Times New Roman"/>
          <w:sz w:val="24"/>
          <w:szCs w:val="24"/>
        </w:rPr>
        <w:t xml:space="preserve">, including </w:t>
      </w:r>
      <w:r w:rsidR="001E59BA">
        <w:rPr>
          <w:rFonts w:ascii="Times New Roman" w:hAnsi="Times New Roman" w:cs="Times New Roman"/>
          <w:sz w:val="24"/>
          <w:szCs w:val="24"/>
        </w:rPr>
        <w:t>in domestic</w:t>
      </w:r>
      <w:r w:rsidR="009F650E">
        <w:rPr>
          <w:rFonts w:ascii="Times New Roman" w:hAnsi="Times New Roman" w:cs="Times New Roman"/>
          <w:sz w:val="24"/>
          <w:szCs w:val="24"/>
        </w:rPr>
        <w:t xml:space="preserve"> markets</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(Roach 2015: 114). </w:t>
      </w:r>
      <w:r w:rsidR="009F650E">
        <w:rPr>
          <w:rFonts w:ascii="Times New Roman" w:hAnsi="Times New Roman" w:cs="Times New Roman"/>
          <w:color w:val="000000"/>
          <w:sz w:val="24"/>
          <w:szCs w:val="24"/>
        </w:rPr>
        <w:t>Some</w:t>
      </w:r>
      <w:r>
        <w:rPr>
          <w:rFonts w:ascii="Times New Roman" w:hAnsi="Times New Roman" w:cs="Times New Roman"/>
          <w:color w:val="000000"/>
          <w:sz w:val="24"/>
          <w:szCs w:val="24"/>
        </w:rPr>
        <w:t xml:space="preserve"> </w:t>
      </w:r>
      <w:r w:rsidR="000014D7">
        <w:rPr>
          <w:rFonts w:ascii="Times New Roman" w:hAnsi="Times New Roman" w:cs="Times New Roman"/>
          <w:color w:val="000000"/>
          <w:sz w:val="24"/>
          <w:szCs w:val="24"/>
        </w:rPr>
        <w:t>US</w:t>
      </w:r>
      <w:r>
        <w:rPr>
          <w:rFonts w:ascii="Times New Roman" w:hAnsi="Times New Roman" w:cs="Times New Roman"/>
          <w:color w:val="000000"/>
          <w:sz w:val="24"/>
          <w:szCs w:val="24"/>
        </w:rPr>
        <w:t xml:space="preserve"> </w:t>
      </w:r>
      <w:r w:rsidR="00A762C5">
        <w:rPr>
          <w:rFonts w:ascii="Times New Roman" w:hAnsi="Times New Roman" w:cs="Times New Roman"/>
          <w:color w:val="000000"/>
          <w:sz w:val="24"/>
          <w:szCs w:val="24"/>
        </w:rPr>
        <w:t xml:space="preserve">policymakers and </w:t>
      </w:r>
      <w:r>
        <w:rPr>
          <w:rFonts w:ascii="Times New Roman" w:hAnsi="Times New Roman" w:cs="Times New Roman"/>
          <w:color w:val="000000"/>
          <w:sz w:val="24"/>
          <w:szCs w:val="24"/>
        </w:rPr>
        <w:t xml:space="preserve">analysts argue that China’s industrial ascent at the </w:t>
      </w:r>
      <w:r w:rsidR="000014D7">
        <w:rPr>
          <w:rFonts w:ascii="Times New Roman" w:hAnsi="Times New Roman" w:cs="Times New Roman"/>
          <w:color w:val="000000"/>
          <w:sz w:val="24"/>
          <w:szCs w:val="24"/>
        </w:rPr>
        <w:t>US</w:t>
      </w:r>
      <w:r>
        <w:rPr>
          <w:rFonts w:ascii="Times New Roman" w:hAnsi="Times New Roman" w:cs="Times New Roman"/>
          <w:color w:val="000000"/>
          <w:sz w:val="24"/>
          <w:szCs w:val="24"/>
        </w:rPr>
        <w:t>’ expense is due to China’s unfair trade practices</w:t>
      </w:r>
      <w:r w:rsidR="00A762C5">
        <w:rPr>
          <w:rFonts w:ascii="Times New Roman" w:hAnsi="Times New Roman" w:cs="Times New Roman"/>
          <w:color w:val="000000"/>
          <w:sz w:val="24"/>
          <w:szCs w:val="24"/>
        </w:rPr>
        <w:t xml:space="preserve">, including currency manipulation, </w:t>
      </w:r>
      <w:r>
        <w:rPr>
          <w:rFonts w:ascii="Times New Roman" w:hAnsi="Times New Roman" w:cs="Times New Roman"/>
          <w:sz w:val="24"/>
          <w:szCs w:val="24"/>
        </w:rPr>
        <w:t>forced technology transfers, large industrial subsidies, state-sponsored finance and risk management, and weak labor and environmental standards</w:t>
      </w:r>
      <w:r w:rsidR="00A762C5">
        <w:rPr>
          <w:rFonts w:ascii="Times New Roman" w:hAnsi="Times New Roman" w:cs="Times New Roman"/>
          <w:sz w:val="24"/>
          <w:szCs w:val="24"/>
        </w:rPr>
        <w:t xml:space="preserve"> (</w:t>
      </w:r>
      <w:r>
        <w:rPr>
          <w:rFonts w:ascii="Times New Roman" w:hAnsi="Times New Roman" w:cs="Times New Roman"/>
          <w:sz w:val="24"/>
          <w:szCs w:val="24"/>
        </w:rPr>
        <w:t xml:space="preserve">Ross </w:t>
      </w:r>
      <w:r w:rsidR="00A762C5">
        <w:rPr>
          <w:rFonts w:ascii="Times New Roman" w:hAnsi="Times New Roman" w:cs="Times New Roman"/>
          <w:sz w:val="24"/>
          <w:szCs w:val="24"/>
        </w:rPr>
        <w:t>&amp;</w:t>
      </w:r>
      <w:r>
        <w:rPr>
          <w:rFonts w:ascii="Times New Roman" w:hAnsi="Times New Roman" w:cs="Times New Roman"/>
          <w:sz w:val="24"/>
          <w:szCs w:val="24"/>
        </w:rPr>
        <w:t xml:space="preserve"> Navarro</w:t>
      </w:r>
      <w:r w:rsidR="00A762C5">
        <w:rPr>
          <w:rFonts w:ascii="Times New Roman" w:hAnsi="Times New Roman" w:cs="Times New Roman"/>
          <w:sz w:val="24"/>
          <w:szCs w:val="24"/>
        </w:rPr>
        <w:t xml:space="preserve"> </w:t>
      </w:r>
      <w:r>
        <w:rPr>
          <w:rFonts w:ascii="Times New Roman" w:hAnsi="Times New Roman" w:cs="Times New Roman"/>
          <w:sz w:val="24"/>
          <w:szCs w:val="24"/>
        </w:rPr>
        <w:t>2016).</w:t>
      </w:r>
    </w:p>
    <w:p w:rsidR="00A762C5" w:rsidRDefault="00A762C5" w:rsidP="002677C2">
      <w:pPr>
        <w:spacing w:line="240" w:lineRule="auto"/>
        <w:contextualSpacing/>
        <w:rPr>
          <w:rFonts w:ascii="Times New Roman" w:hAnsi="Times New Roman" w:cs="Times New Roman"/>
          <w:i/>
          <w:sz w:val="24"/>
          <w:szCs w:val="24"/>
        </w:rPr>
      </w:pPr>
    </w:p>
    <w:p w:rsidR="00A762C5" w:rsidRDefault="00F91772" w:rsidP="002677C2">
      <w:pPr>
        <w:spacing w:line="240" w:lineRule="auto"/>
        <w:contextualSpacing/>
        <w:rPr>
          <w:rFonts w:ascii="Times New Roman" w:hAnsi="Times New Roman" w:cs="Times New Roman"/>
          <w:sz w:val="24"/>
          <w:szCs w:val="24"/>
        </w:rPr>
      </w:pPr>
      <w:r w:rsidRPr="00F91772">
        <w:rPr>
          <w:rFonts w:ascii="Times New Roman" w:hAnsi="Times New Roman" w:cs="Times New Roman"/>
          <w:i/>
          <w:sz w:val="24"/>
          <w:szCs w:val="24"/>
        </w:rPr>
        <w:t>The Rest of the World Saving</w:t>
      </w:r>
    </w:p>
    <w:p w:rsidR="00540CE8" w:rsidRDefault="00F91772" w:rsidP="00D7540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the literature identifies three main ways the </w:t>
      </w:r>
      <w:r w:rsidR="000014D7">
        <w:rPr>
          <w:rFonts w:ascii="Times New Roman" w:hAnsi="Times New Roman" w:cs="Times New Roman"/>
          <w:sz w:val="24"/>
          <w:szCs w:val="24"/>
        </w:rPr>
        <w:t>US</w:t>
      </w:r>
      <w:r>
        <w:rPr>
          <w:rFonts w:ascii="Times New Roman" w:hAnsi="Times New Roman" w:cs="Times New Roman"/>
          <w:sz w:val="24"/>
          <w:szCs w:val="24"/>
        </w:rPr>
        <w:t xml:space="preserve"> spends, the second step in </w:t>
      </w:r>
      <w:r w:rsidR="00697FBA">
        <w:rPr>
          <w:rFonts w:ascii="Times New Roman" w:hAnsi="Times New Roman" w:cs="Times New Roman"/>
          <w:sz w:val="24"/>
          <w:szCs w:val="24"/>
        </w:rPr>
        <w:t xml:space="preserve">the </w:t>
      </w:r>
      <w:r w:rsidR="000014D7">
        <w:rPr>
          <w:rFonts w:ascii="Times New Roman" w:hAnsi="Times New Roman" w:cs="Times New Roman"/>
          <w:sz w:val="24"/>
          <w:szCs w:val="24"/>
        </w:rPr>
        <w:t>US</w:t>
      </w:r>
      <w:r w:rsidR="00697FBA">
        <w:rPr>
          <w:rFonts w:ascii="Times New Roman" w:hAnsi="Times New Roman" w:cs="Times New Roman"/>
          <w:sz w:val="24"/>
          <w:szCs w:val="24"/>
        </w:rPr>
        <w:t xml:space="preserve"> trade deficit </w:t>
      </w:r>
      <w:r>
        <w:rPr>
          <w:rFonts w:ascii="Times New Roman" w:hAnsi="Times New Roman" w:cs="Times New Roman"/>
          <w:sz w:val="24"/>
          <w:szCs w:val="24"/>
        </w:rPr>
        <w:t xml:space="preserve">is that the rest of the world must take that income and chose to </w:t>
      </w:r>
      <w:r w:rsidR="002C62DC">
        <w:rPr>
          <w:rFonts w:ascii="Times New Roman" w:hAnsi="Times New Roman" w:cs="Times New Roman"/>
          <w:sz w:val="24"/>
          <w:szCs w:val="24"/>
        </w:rPr>
        <w:t xml:space="preserve">buy </w:t>
      </w:r>
      <w:r w:rsidR="000014D7">
        <w:rPr>
          <w:rFonts w:ascii="Times New Roman" w:hAnsi="Times New Roman" w:cs="Times New Roman"/>
          <w:sz w:val="24"/>
          <w:szCs w:val="24"/>
        </w:rPr>
        <w:t>US</w:t>
      </w:r>
      <w:r w:rsidR="002C62DC">
        <w:rPr>
          <w:rFonts w:ascii="Times New Roman" w:hAnsi="Times New Roman" w:cs="Times New Roman"/>
          <w:sz w:val="24"/>
          <w:szCs w:val="24"/>
        </w:rPr>
        <w:t xml:space="preserve"> assets rather than</w:t>
      </w:r>
      <w:r>
        <w:rPr>
          <w:rFonts w:ascii="Times New Roman" w:hAnsi="Times New Roman" w:cs="Times New Roman"/>
          <w:sz w:val="24"/>
          <w:szCs w:val="24"/>
        </w:rPr>
        <w:t xml:space="preserve"> </w:t>
      </w:r>
      <w:r w:rsidR="000014D7">
        <w:rPr>
          <w:rFonts w:ascii="Times New Roman" w:hAnsi="Times New Roman" w:cs="Times New Roman"/>
          <w:sz w:val="24"/>
          <w:szCs w:val="24"/>
        </w:rPr>
        <w:t>US</w:t>
      </w:r>
      <w:r>
        <w:rPr>
          <w:rFonts w:ascii="Times New Roman" w:hAnsi="Times New Roman" w:cs="Times New Roman"/>
          <w:sz w:val="24"/>
          <w:szCs w:val="24"/>
        </w:rPr>
        <w:t xml:space="preserve"> goods and services</w:t>
      </w:r>
      <w:r w:rsidR="002C62DC">
        <w:rPr>
          <w:rFonts w:ascii="Times New Roman" w:hAnsi="Times New Roman" w:cs="Times New Roman"/>
          <w:sz w:val="24"/>
          <w:szCs w:val="24"/>
        </w:rPr>
        <w:t xml:space="preserve"> (Blanchard et. al. 2005)</w:t>
      </w:r>
      <w:r>
        <w:rPr>
          <w:rFonts w:ascii="Times New Roman" w:hAnsi="Times New Roman" w:cs="Times New Roman"/>
          <w:sz w:val="24"/>
          <w:szCs w:val="24"/>
        </w:rPr>
        <w:t>.</w:t>
      </w:r>
      <w:r w:rsidR="001E59BA">
        <w:rPr>
          <w:rFonts w:ascii="Times New Roman" w:hAnsi="Times New Roman" w:cs="Times New Roman"/>
          <w:sz w:val="24"/>
          <w:szCs w:val="24"/>
        </w:rPr>
        <w:t xml:space="preserve"> </w:t>
      </w:r>
      <w:r w:rsidR="00694239">
        <w:rPr>
          <w:rFonts w:ascii="Times New Roman" w:hAnsi="Times New Roman" w:cs="Times New Roman"/>
          <w:sz w:val="24"/>
          <w:szCs w:val="24"/>
        </w:rPr>
        <w:t xml:space="preserve">The expansion of the </w:t>
      </w:r>
      <w:r w:rsidR="000014D7">
        <w:rPr>
          <w:rFonts w:ascii="Times New Roman" w:hAnsi="Times New Roman" w:cs="Times New Roman"/>
          <w:sz w:val="24"/>
          <w:szCs w:val="24"/>
        </w:rPr>
        <w:t>US</w:t>
      </w:r>
      <w:r w:rsidR="00694239">
        <w:rPr>
          <w:rFonts w:ascii="Times New Roman" w:hAnsi="Times New Roman" w:cs="Times New Roman"/>
          <w:sz w:val="24"/>
          <w:szCs w:val="24"/>
        </w:rPr>
        <w:t xml:space="preserve"> trade deficit has been mostly with East Asia, notably China.</w:t>
      </w:r>
      <w:r w:rsidR="006D3EC1">
        <w:rPr>
          <w:rFonts w:ascii="Times New Roman" w:hAnsi="Times New Roman" w:cs="Times New Roman"/>
          <w:sz w:val="24"/>
          <w:szCs w:val="24"/>
        </w:rPr>
        <w:t xml:space="preserve"> Figure One </w:t>
      </w:r>
      <w:r w:rsidR="00D75403">
        <w:rPr>
          <w:rFonts w:ascii="Times New Roman" w:hAnsi="Times New Roman" w:cs="Times New Roman"/>
          <w:sz w:val="24"/>
          <w:szCs w:val="24"/>
        </w:rPr>
        <w:t xml:space="preserve">(Appendix One) </w:t>
      </w:r>
      <w:r w:rsidR="006D3EC1">
        <w:rPr>
          <w:rFonts w:ascii="Times New Roman" w:hAnsi="Times New Roman" w:cs="Times New Roman"/>
          <w:sz w:val="24"/>
          <w:szCs w:val="24"/>
        </w:rPr>
        <w:t xml:space="preserve">demonstrates that developing countries current account surplus mirrors the </w:t>
      </w:r>
      <w:r w:rsidR="000014D7">
        <w:rPr>
          <w:rFonts w:ascii="Times New Roman" w:hAnsi="Times New Roman" w:cs="Times New Roman"/>
          <w:sz w:val="24"/>
          <w:szCs w:val="24"/>
        </w:rPr>
        <w:t>US</w:t>
      </w:r>
      <w:r w:rsidR="006D3EC1">
        <w:rPr>
          <w:rFonts w:ascii="Times New Roman" w:hAnsi="Times New Roman" w:cs="Times New Roman"/>
          <w:sz w:val="24"/>
          <w:szCs w:val="24"/>
        </w:rPr>
        <w:t xml:space="preserve"> deficit, especially China. Figure Two </w:t>
      </w:r>
      <w:r w:rsidR="00D75403">
        <w:rPr>
          <w:rFonts w:ascii="Times New Roman" w:hAnsi="Times New Roman" w:cs="Times New Roman"/>
          <w:sz w:val="24"/>
          <w:szCs w:val="24"/>
        </w:rPr>
        <w:t xml:space="preserve">(Appendix Two) </w:t>
      </w:r>
      <w:r w:rsidR="006D3EC1">
        <w:rPr>
          <w:rFonts w:ascii="Times New Roman" w:hAnsi="Times New Roman" w:cs="Times New Roman"/>
          <w:sz w:val="24"/>
          <w:szCs w:val="24"/>
        </w:rPr>
        <w:t xml:space="preserve">shows a concurrent rise in developing country’s foreign exchange reserves, of which approximately 60 percent have been in </w:t>
      </w:r>
      <w:r w:rsidR="000014D7">
        <w:rPr>
          <w:rFonts w:ascii="Times New Roman" w:hAnsi="Times New Roman" w:cs="Times New Roman"/>
          <w:sz w:val="24"/>
          <w:szCs w:val="24"/>
        </w:rPr>
        <w:t>US</w:t>
      </w:r>
      <w:r w:rsidR="006D3EC1">
        <w:rPr>
          <w:rFonts w:ascii="Times New Roman" w:hAnsi="Times New Roman" w:cs="Times New Roman"/>
          <w:sz w:val="24"/>
          <w:szCs w:val="24"/>
        </w:rPr>
        <w:t xml:space="preserve"> dollar assets. Figure Three </w:t>
      </w:r>
      <w:r w:rsidR="00D75403">
        <w:rPr>
          <w:rFonts w:ascii="Times New Roman" w:hAnsi="Times New Roman" w:cs="Times New Roman"/>
          <w:sz w:val="24"/>
          <w:szCs w:val="24"/>
        </w:rPr>
        <w:t xml:space="preserve">(Appendix Three) </w:t>
      </w:r>
      <w:r w:rsidR="006D3EC1">
        <w:rPr>
          <w:rFonts w:ascii="Times New Roman" w:hAnsi="Times New Roman" w:cs="Times New Roman"/>
          <w:sz w:val="24"/>
          <w:szCs w:val="24"/>
        </w:rPr>
        <w:t xml:space="preserve">contrast the </w:t>
      </w:r>
      <w:r w:rsidR="000014D7">
        <w:rPr>
          <w:rFonts w:ascii="Times New Roman" w:hAnsi="Times New Roman" w:cs="Times New Roman"/>
          <w:sz w:val="24"/>
          <w:szCs w:val="24"/>
        </w:rPr>
        <w:t>US</w:t>
      </w:r>
      <w:r w:rsidR="006D3EC1">
        <w:rPr>
          <w:rFonts w:ascii="Times New Roman" w:hAnsi="Times New Roman" w:cs="Times New Roman"/>
          <w:sz w:val="24"/>
          <w:szCs w:val="24"/>
        </w:rPr>
        <w:t xml:space="preserve"> Treasury holdings with trade balances of the </w:t>
      </w:r>
      <w:r w:rsidR="000014D7">
        <w:rPr>
          <w:rFonts w:ascii="Times New Roman" w:hAnsi="Times New Roman" w:cs="Times New Roman"/>
          <w:sz w:val="24"/>
          <w:szCs w:val="24"/>
        </w:rPr>
        <w:t>US</w:t>
      </w:r>
      <w:r w:rsidR="006D3EC1">
        <w:rPr>
          <w:rFonts w:ascii="Times New Roman" w:hAnsi="Times New Roman" w:cs="Times New Roman"/>
          <w:sz w:val="24"/>
          <w:szCs w:val="24"/>
        </w:rPr>
        <w:t>’s top six developing country trade partners</w:t>
      </w:r>
      <w:r w:rsidR="00540CE8">
        <w:rPr>
          <w:rFonts w:ascii="Times New Roman" w:hAnsi="Times New Roman" w:cs="Times New Roman"/>
          <w:sz w:val="24"/>
          <w:szCs w:val="24"/>
        </w:rPr>
        <w:t xml:space="preserve"> (China, India, Taiwan, Brazil, Mexico, and South Korea). </w:t>
      </w:r>
      <w:r w:rsidR="00540CE8">
        <w:rPr>
          <w:rFonts w:ascii="Times New Roman" w:hAnsi="Times New Roman" w:cs="Times New Roman"/>
          <w:sz w:val="24"/>
          <w:szCs w:val="24"/>
        </w:rPr>
        <w:lastRenderedPageBreak/>
        <w:t xml:space="preserve">There is clear correlation between trade surpluses in developing countries and their holdings of </w:t>
      </w:r>
      <w:r w:rsidR="000014D7">
        <w:rPr>
          <w:rFonts w:ascii="Times New Roman" w:hAnsi="Times New Roman" w:cs="Times New Roman"/>
          <w:sz w:val="24"/>
          <w:szCs w:val="24"/>
        </w:rPr>
        <w:t>US</w:t>
      </w:r>
      <w:r w:rsidR="00540CE8">
        <w:rPr>
          <w:rFonts w:ascii="Times New Roman" w:hAnsi="Times New Roman" w:cs="Times New Roman"/>
          <w:sz w:val="24"/>
          <w:szCs w:val="24"/>
        </w:rPr>
        <w:t xml:space="preserve"> Treasuries (although there appears to be no correlation for Brazil and to a lesser extent Taiwan). Figure Two suggests that the relationship appears to be driven by central bank official holdings rather than private sector holdings.</w:t>
      </w:r>
    </w:p>
    <w:p w:rsidR="002C62DC" w:rsidRDefault="00583FB3"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literature identifies three main reasons </w:t>
      </w:r>
      <w:r w:rsidR="00B10544">
        <w:rPr>
          <w:rFonts w:ascii="Times New Roman" w:hAnsi="Times New Roman" w:cs="Times New Roman"/>
          <w:sz w:val="24"/>
          <w:szCs w:val="24"/>
        </w:rPr>
        <w:t>that developing country</w:t>
      </w:r>
      <w:r>
        <w:rPr>
          <w:rFonts w:ascii="Times New Roman" w:hAnsi="Times New Roman" w:cs="Times New Roman"/>
          <w:sz w:val="24"/>
          <w:szCs w:val="24"/>
        </w:rPr>
        <w:t xml:space="preserve"> central banks accumulate Treasury securities</w:t>
      </w:r>
      <w:r w:rsidR="00B10544">
        <w:rPr>
          <w:rFonts w:ascii="Times New Roman" w:hAnsi="Times New Roman" w:cs="Times New Roman"/>
          <w:sz w:val="24"/>
          <w:szCs w:val="24"/>
        </w:rPr>
        <w:t xml:space="preserve"> - to maintain exchange rate parity, protect against volatile and destabilizing capital flows, and for lack of alternative safe assets. A primary reason central banks of large developing countries accumulate dollar reserves is to maintain competitive exchange rates to support their export-led growth models (</w:t>
      </w:r>
      <w:r w:rsidR="000B2036">
        <w:rPr>
          <w:rFonts w:ascii="Times New Roman" w:hAnsi="Times New Roman" w:cs="Times New Roman"/>
          <w:sz w:val="24"/>
          <w:szCs w:val="24"/>
        </w:rPr>
        <w:t>Dooley et. al. 200</w:t>
      </w:r>
      <w:r w:rsidR="009550DA">
        <w:rPr>
          <w:rFonts w:ascii="Times New Roman" w:hAnsi="Times New Roman" w:cs="Times New Roman"/>
          <w:sz w:val="24"/>
          <w:szCs w:val="24"/>
        </w:rPr>
        <w:t>4</w:t>
      </w:r>
      <w:r w:rsidR="000B2036">
        <w:rPr>
          <w:rFonts w:ascii="Times New Roman" w:hAnsi="Times New Roman" w:cs="Times New Roman"/>
          <w:sz w:val="24"/>
          <w:szCs w:val="24"/>
        </w:rPr>
        <w:t xml:space="preserve">; </w:t>
      </w:r>
      <w:r>
        <w:rPr>
          <w:rFonts w:ascii="Times New Roman" w:hAnsi="Times New Roman" w:cs="Times New Roman"/>
          <w:sz w:val="24"/>
          <w:szCs w:val="24"/>
        </w:rPr>
        <w:t>Austin 2014</w:t>
      </w:r>
      <w:r w:rsidR="00B10544">
        <w:rPr>
          <w:rFonts w:ascii="Times New Roman" w:hAnsi="Times New Roman" w:cs="Times New Roman"/>
          <w:sz w:val="24"/>
          <w:szCs w:val="24"/>
        </w:rPr>
        <w:t>;</w:t>
      </w:r>
      <w:r>
        <w:rPr>
          <w:rFonts w:ascii="Times New Roman" w:hAnsi="Times New Roman" w:cs="Times New Roman"/>
          <w:sz w:val="24"/>
          <w:szCs w:val="24"/>
        </w:rPr>
        <w:t xml:space="preserve"> Gagnon 2012</w:t>
      </w:r>
      <w:r w:rsidR="00B10544">
        <w:rPr>
          <w:rFonts w:ascii="Times New Roman" w:hAnsi="Times New Roman" w:cs="Times New Roman"/>
          <w:sz w:val="24"/>
          <w:szCs w:val="24"/>
        </w:rPr>
        <w:t>;</w:t>
      </w:r>
      <w:r>
        <w:rPr>
          <w:rFonts w:ascii="Times New Roman" w:hAnsi="Times New Roman" w:cs="Times New Roman"/>
          <w:sz w:val="24"/>
          <w:szCs w:val="24"/>
        </w:rPr>
        <w:t xml:space="preserve"> Pettis 2014)</w:t>
      </w:r>
      <w:r w:rsidR="00B10544">
        <w:rPr>
          <w:rFonts w:ascii="Times New Roman" w:hAnsi="Times New Roman" w:cs="Times New Roman"/>
          <w:sz w:val="24"/>
          <w:szCs w:val="24"/>
        </w:rPr>
        <w:t>.</w:t>
      </w:r>
      <w:r>
        <w:rPr>
          <w:rFonts w:ascii="Times New Roman" w:hAnsi="Times New Roman" w:cs="Times New Roman"/>
          <w:sz w:val="24"/>
          <w:szCs w:val="24"/>
        </w:rPr>
        <w:t xml:space="preserve"> </w:t>
      </w:r>
      <w:r w:rsidR="00CE55BE">
        <w:rPr>
          <w:rFonts w:ascii="Times New Roman" w:hAnsi="Times New Roman" w:cs="Times New Roman"/>
          <w:sz w:val="24"/>
          <w:szCs w:val="24"/>
        </w:rPr>
        <w:t xml:space="preserve">As developing countries accumulated dollar reserves, this appreciated the dollar against other currencies, further pushing the </w:t>
      </w:r>
      <w:r w:rsidR="000014D7">
        <w:rPr>
          <w:rFonts w:ascii="Times New Roman" w:hAnsi="Times New Roman" w:cs="Times New Roman"/>
          <w:sz w:val="24"/>
          <w:szCs w:val="24"/>
        </w:rPr>
        <w:t>US</w:t>
      </w:r>
      <w:r w:rsidR="00CE55BE">
        <w:rPr>
          <w:rFonts w:ascii="Times New Roman" w:hAnsi="Times New Roman" w:cs="Times New Roman"/>
          <w:sz w:val="24"/>
          <w:szCs w:val="24"/>
        </w:rPr>
        <w:t xml:space="preserve"> trade deficit (Blanchard et. al. 2005).</w:t>
      </w:r>
    </w:p>
    <w:p w:rsidR="002C62DC" w:rsidRDefault="00B10544"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d</w:t>
      </w:r>
      <w:r w:rsidR="00583FB3">
        <w:rPr>
          <w:rFonts w:ascii="Times New Roman" w:hAnsi="Times New Roman" w:cs="Times New Roman"/>
          <w:sz w:val="24"/>
          <w:szCs w:val="24"/>
        </w:rPr>
        <w:t>eveloping countries acquired reserves at record clips to safeguard against massive and destabilizing capital flows (</w:t>
      </w:r>
      <w:proofErr w:type="spellStart"/>
      <w:r w:rsidR="002C62DC">
        <w:rPr>
          <w:rFonts w:ascii="Times New Roman" w:hAnsi="Times New Roman" w:cs="Times New Roman"/>
          <w:sz w:val="24"/>
          <w:szCs w:val="24"/>
        </w:rPr>
        <w:t>Feldstien</w:t>
      </w:r>
      <w:proofErr w:type="spellEnd"/>
      <w:r w:rsidR="002C62DC">
        <w:rPr>
          <w:rFonts w:ascii="Times New Roman" w:hAnsi="Times New Roman" w:cs="Times New Roman"/>
          <w:sz w:val="24"/>
          <w:szCs w:val="24"/>
        </w:rPr>
        <w:t xml:space="preserve"> 1999; 2005; </w:t>
      </w:r>
      <w:r w:rsidR="00583FB3">
        <w:rPr>
          <w:rFonts w:ascii="Times New Roman" w:hAnsi="Times New Roman" w:cs="Times New Roman"/>
          <w:sz w:val="24"/>
          <w:szCs w:val="24"/>
        </w:rPr>
        <w:t>IMF 2013; Bundesbank 2017). Figure T</w:t>
      </w:r>
      <w:r w:rsidR="00163E8F">
        <w:rPr>
          <w:rFonts w:ascii="Times New Roman" w:hAnsi="Times New Roman" w:cs="Times New Roman"/>
          <w:sz w:val="24"/>
          <w:szCs w:val="24"/>
        </w:rPr>
        <w:t>hree</w:t>
      </w:r>
      <w:r w:rsidR="00583FB3">
        <w:rPr>
          <w:rFonts w:ascii="Times New Roman" w:hAnsi="Times New Roman" w:cs="Times New Roman"/>
          <w:sz w:val="24"/>
          <w:szCs w:val="24"/>
        </w:rPr>
        <w:t xml:space="preserve"> show</w:t>
      </w:r>
      <w:r w:rsidR="00163E8F">
        <w:rPr>
          <w:rFonts w:ascii="Times New Roman" w:hAnsi="Times New Roman" w:cs="Times New Roman"/>
          <w:sz w:val="24"/>
          <w:szCs w:val="24"/>
        </w:rPr>
        <w:t>s</w:t>
      </w:r>
      <w:r w:rsidR="00583FB3">
        <w:rPr>
          <w:rFonts w:ascii="Times New Roman" w:hAnsi="Times New Roman" w:cs="Times New Roman"/>
          <w:sz w:val="24"/>
          <w:szCs w:val="24"/>
        </w:rPr>
        <w:t xml:space="preserve"> that developing countries dramatically increased their dollar asset holdings after the 2007/8 global financial crisis, while China, South Korea, and Taiwan hastily accumulated Treasury holdings after the Asian financial crisis in the late 1990s. </w:t>
      </w:r>
    </w:p>
    <w:p w:rsidR="00583FB3" w:rsidRDefault="00583FB3"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Lastly, developing countries turn to </w:t>
      </w:r>
      <w:r w:rsidR="000014D7">
        <w:rPr>
          <w:rFonts w:ascii="Times New Roman" w:hAnsi="Times New Roman" w:cs="Times New Roman"/>
          <w:sz w:val="24"/>
          <w:szCs w:val="24"/>
        </w:rPr>
        <w:t>US</w:t>
      </w:r>
      <w:r>
        <w:rPr>
          <w:rFonts w:ascii="Times New Roman" w:hAnsi="Times New Roman" w:cs="Times New Roman"/>
          <w:sz w:val="24"/>
          <w:szCs w:val="24"/>
        </w:rPr>
        <w:t xml:space="preserve"> Treasury bills and dollar assets due the lack of alternative safe assets. Paradoxically, although the 2008 global financial crisis originated in the </w:t>
      </w:r>
      <w:r w:rsidR="000014D7">
        <w:rPr>
          <w:rFonts w:ascii="Times New Roman" w:hAnsi="Times New Roman" w:cs="Times New Roman"/>
          <w:sz w:val="24"/>
          <w:szCs w:val="24"/>
        </w:rPr>
        <w:t>US</w:t>
      </w:r>
      <w:r>
        <w:rPr>
          <w:rFonts w:ascii="Times New Roman" w:hAnsi="Times New Roman" w:cs="Times New Roman"/>
          <w:sz w:val="24"/>
          <w:szCs w:val="24"/>
        </w:rPr>
        <w:t xml:space="preserve">, international public and private money managers fled to </w:t>
      </w:r>
      <w:r w:rsidR="000014D7">
        <w:rPr>
          <w:rFonts w:ascii="Times New Roman" w:hAnsi="Times New Roman" w:cs="Times New Roman"/>
          <w:sz w:val="24"/>
          <w:szCs w:val="24"/>
        </w:rPr>
        <w:t>US</w:t>
      </w:r>
      <w:r>
        <w:rPr>
          <w:rFonts w:ascii="Times New Roman" w:hAnsi="Times New Roman" w:cs="Times New Roman"/>
          <w:sz w:val="24"/>
          <w:szCs w:val="24"/>
        </w:rPr>
        <w:t xml:space="preserve"> assets as a safe haven, particularly </w:t>
      </w:r>
      <w:r w:rsidR="000014D7">
        <w:rPr>
          <w:rFonts w:ascii="Times New Roman" w:hAnsi="Times New Roman" w:cs="Times New Roman"/>
          <w:sz w:val="24"/>
          <w:szCs w:val="24"/>
        </w:rPr>
        <w:t>US</w:t>
      </w:r>
      <w:r>
        <w:rPr>
          <w:rFonts w:ascii="Times New Roman" w:hAnsi="Times New Roman" w:cs="Times New Roman"/>
          <w:sz w:val="24"/>
          <w:szCs w:val="24"/>
        </w:rPr>
        <w:t xml:space="preserve"> Treasuries (Prasad 2014). No other currency provides the same size, sophistication, and protection as </w:t>
      </w:r>
      <w:r w:rsidR="000014D7">
        <w:rPr>
          <w:rFonts w:ascii="Times New Roman" w:hAnsi="Times New Roman" w:cs="Times New Roman"/>
          <w:sz w:val="24"/>
          <w:szCs w:val="24"/>
        </w:rPr>
        <w:t>US</w:t>
      </w:r>
      <w:r>
        <w:rPr>
          <w:rFonts w:ascii="Times New Roman" w:hAnsi="Times New Roman" w:cs="Times New Roman"/>
          <w:sz w:val="24"/>
          <w:szCs w:val="24"/>
        </w:rPr>
        <w:t xml:space="preserve"> financial markets. As there no viable competitors to the </w:t>
      </w:r>
      <w:r w:rsidR="000014D7">
        <w:rPr>
          <w:rFonts w:ascii="Times New Roman" w:hAnsi="Times New Roman" w:cs="Times New Roman"/>
          <w:sz w:val="24"/>
          <w:szCs w:val="24"/>
        </w:rPr>
        <w:t>US</w:t>
      </w:r>
      <w:r>
        <w:rPr>
          <w:rFonts w:ascii="Times New Roman" w:hAnsi="Times New Roman" w:cs="Times New Roman"/>
          <w:sz w:val="24"/>
          <w:szCs w:val="24"/>
        </w:rPr>
        <w:t xml:space="preserve"> dollar, the world’s central banks depend on </w:t>
      </w:r>
      <w:r w:rsidR="000014D7">
        <w:rPr>
          <w:rFonts w:ascii="Times New Roman" w:hAnsi="Times New Roman" w:cs="Times New Roman"/>
          <w:sz w:val="24"/>
          <w:szCs w:val="24"/>
        </w:rPr>
        <w:t>US</w:t>
      </w:r>
      <w:r>
        <w:rPr>
          <w:rFonts w:ascii="Times New Roman" w:hAnsi="Times New Roman" w:cs="Times New Roman"/>
          <w:sz w:val="24"/>
          <w:szCs w:val="24"/>
        </w:rPr>
        <w:t xml:space="preserve"> Treasuries as the ultimate safe asset. </w:t>
      </w:r>
    </w:p>
    <w:p w:rsidR="00583FB3" w:rsidRDefault="00583FB3" w:rsidP="002677C2">
      <w:pPr>
        <w:spacing w:after="0" w:line="240" w:lineRule="auto"/>
        <w:ind w:firstLine="720"/>
        <w:contextualSpacing/>
        <w:rPr>
          <w:rFonts w:ascii="Times New Roman" w:hAnsi="Times New Roman" w:cs="Times New Roman"/>
          <w:sz w:val="24"/>
          <w:szCs w:val="24"/>
        </w:rPr>
      </w:pPr>
    </w:p>
    <w:p w:rsidR="006531B4" w:rsidRDefault="00702BD4" w:rsidP="002677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II.B. The Dollar Standard </w:t>
      </w:r>
    </w:p>
    <w:p w:rsidR="00110602" w:rsidRDefault="00983E10"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0014D7">
        <w:rPr>
          <w:rFonts w:ascii="Times New Roman" w:hAnsi="Times New Roman" w:cs="Times New Roman"/>
          <w:sz w:val="24"/>
          <w:szCs w:val="24"/>
        </w:rPr>
        <w:t>US</w:t>
      </w:r>
      <w:r>
        <w:rPr>
          <w:rFonts w:ascii="Times New Roman" w:hAnsi="Times New Roman" w:cs="Times New Roman"/>
          <w:sz w:val="24"/>
          <w:szCs w:val="24"/>
        </w:rPr>
        <w:t xml:space="preserve"> spending and the rest of the world saving drives the </w:t>
      </w:r>
      <w:r w:rsidR="000014D7">
        <w:rPr>
          <w:rFonts w:ascii="Times New Roman" w:hAnsi="Times New Roman" w:cs="Times New Roman"/>
          <w:sz w:val="24"/>
          <w:szCs w:val="24"/>
        </w:rPr>
        <w:t>US</w:t>
      </w:r>
      <w:r>
        <w:rPr>
          <w:rFonts w:ascii="Times New Roman" w:hAnsi="Times New Roman" w:cs="Times New Roman"/>
          <w:sz w:val="24"/>
          <w:szCs w:val="24"/>
        </w:rPr>
        <w:t xml:space="preserve"> trade deficit. However, why is the </w:t>
      </w:r>
      <w:r w:rsidR="000014D7">
        <w:rPr>
          <w:rFonts w:ascii="Times New Roman" w:hAnsi="Times New Roman" w:cs="Times New Roman"/>
          <w:sz w:val="24"/>
          <w:szCs w:val="24"/>
        </w:rPr>
        <w:t>US</w:t>
      </w:r>
      <w:r>
        <w:rPr>
          <w:rFonts w:ascii="Times New Roman" w:hAnsi="Times New Roman" w:cs="Times New Roman"/>
          <w:sz w:val="24"/>
          <w:szCs w:val="24"/>
        </w:rPr>
        <w:t xml:space="preserve"> the only country in the world that </w:t>
      </w:r>
      <w:r w:rsidR="00D6170F">
        <w:rPr>
          <w:rFonts w:ascii="Times New Roman" w:hAnsi="Times New Roman" w:cs="Times New Roman"/>
          <w:sz w:val="24"/>
          <w:szCs w:val="24"/>
        </w:rPr>
        <w:t xml:space="preserve">can </w:t>
      </w:r>
      <w:r>
        <w:rPr>
          <w:rFonts w:ascii="Times New Roman" w:hAnsi="Times New Roman" w:cs="Times New Roman"/>
          <w:sz w:val="24"/>
          <w:szCs w:val="24"/>
        </w:rPr>
        <w:t xml:space="preserve">sustain perpetual imbalances? The literature emphasizes </w:t>
      </w:r>
      <w:r w:rsidR="00D6170F">
        <w:rPr>
          <w:rFonts w:ascii="Times New Roman" w:hAnsi="Times New Roman" w:cs="Times New Roman"/>
          <w:sz w:val="24"/>
          <w:szCs w:val="24"/>
        </w:rPr>
        <w:t xml:space="preserve">two mechanisms - </w:t>
      </w:r>
      <w:r>
        <w:rPr>
          <w:rFonts w:ascii="Times New Roman" w:hAnsi="Times New Roman" w:cs="Times New Roman"/>
          <w:sz w:val="24"/>
          <w:szCs w:val="24"/>
        </w:rPr>
        <w:t xml:space="preserve">“Bretton Woods II” </w:t>
      </w:r>
      <w:r w:rsidR="00D6170F">
        <w:rPr>
          <w:rFonts w:ascii="Times New Roman" w:hAnsi="Times New Roman" w:cs="Times New Roman"/>
          <w:sz w:val="24"/>
          <w:szCs w:val="24"/>
        </w:rPr>
        <w:t>and</w:t>
      </w:r>
      <w:r>
        <w:rPr>
          <w:rFonts w:ascii="Times New Roman" w:hAnsi="Times New Roman" w:cs="Times New Roman"/>
          <w:sz w:val="24"/>
          <w:szCs w:val="24"/>
        </w:rPr>
        <w:t xml:space="preserve"> the “exorbitant privilege” of the dollar.</w:t>
      </w:r>
    </w:p>
    <w:p w:rsidR="00D81CE5" w:rsidRDefault="00D81CE5"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original Bretton Woods </w:t>
      </w:r>
      <w:r w:rsidR="00D6170F">
        <w:rPr>
          <w:rFonts w:ascii="Times New Roman" w:hAnsi="Times New Roman" w:cs="Times New Roman"/>
          <w:sz w:val="24"/>
          <w:szCs w:val="24"/>
        </w:rPr>
        <w:t>was</w:t>
      </w:r>
      <w:r>
        <w:rPr>
          <w:rFonts w:ascii="Times New Roman" w:hAnsi="Times New Roman" w:cs="Times New Roman"/>
          <w:sz w:val="24"/>
          <w:szCs w:val="24"/>
        </w:rPr>
        <w:t xml:space="preserve"> </w:t>
      </w:r>
      <w:r w:rsidR="00D6170F">
        <w:rPr>
          <w:rFonts w:ascii="Times New Roman" w:hAnsi="Times New Roman" w:cs="Times New Roman"/>
          <w:sz w:val="24"/>
          <w:szCs w:val="24"/>
        </w:rPr>
        <w:t>a post-</w:t>
      </w:r>
      <w:r>
        <w:rPr>
          <w:rFonts w:ascii="Times New Roman" w:hAnsi="Times New Roman" w:cs="Times New Roman"/>
          <w:sz w:val="24"/>
          <w:szCs w:val="24"/>
        </w:rPr>
        <w:t xml:space="preserve">WWII </w:t>
      </w:r>
      <w:r w:rsidR="00D6170F">
        <w:rPr>
          <w:rFonts w:ascii="Times New Roman" w:hAnsi="Times New Roman" w:cs="Times New Roman"/>
          <w:sz w:val="24"/>
          <w:szCs w:val="24"/>
        </w:rPr>
        <w:t>agreement to</w:t>
      </w:r>
      <w:r>
        <w:rPr>
          <w:rFonts w:ascii="Times New Roman" w:hAnsi="Times New Roman" w:cs="Times New Roman"/>
          <w:sz w:val="24"/>
          <w:szCs w:val="24"/>
        </w:rPr>
        <w:t xml:space="preserve"> place the dollar at the center of the international monetary system, with the dollar exchangeable for a fixed price in gold and all currencies pegged to the dollar. Bretton Woods officially broke down in 1973. </w:t>
      </w:r>
      <w:r w:rsidR="000B2036" w:rsidRPr="00583FB3">
        <w:rPr>
          <w:rFonts w:ascii="Times New Roman" w:hAnsi="Times New Roman" w:cs="Times New Roman"/>
          <w:sz w:val="24"/>
          <w:szCs w:val="24"/>
        </w:rPr>
        <w:t xml:space="preserve">Dooley et al. </w:t>
      </w:r>
      <w:r w:rsidR="000B2036">
        <w:rPr>
          <w:rFonts w:ascii="Times New Roman" w:hAnsi="Times New Roman" w:cs="Times New Roman"/>
          <w:sz w:val="24"/>
          <w:szCs w:val="24"/>
        </w:rPr>
        <w:t>(</w:t>
      </w:r>
      <w:r w:rsidR="00F1668A">
        <w:rPr>
          <w:rFonts w:ascii="Times New Roman" w:hAnsi="Times New Roman" w:cs="Times New Roman"/>
          <w:sz w:val="24"/>
          <w:szCs w:val="24"/>
        </w:rPr>
        <w:t>2004</w:t>
      </w:r>
      <w:r w:rsidR="000B2036">
        <w:rPr>
          <w:rFonts w:ascii="Times New Roman" w:hAnsi="Times New Roman" w:cs="Times New Roman"/>
          <w:sz w:val="24"/>
          <w:szCs w:val="24"/>
        </w:rPr>
        <w:t xml:space="preserve">) </w:t>
      </w:r>
      <w:r w:rsidR="00983E10">
        <w:rPr>
          <w:rFonts w:ascii="Times New Roman" w:hAnsi="Times New Roman" w:cs="Times New Roman"/>
          <w:sz w:val="24"/>
          <w:szCs w:val="24"/>
        </w:rPr>
        <w:t xml:space="preserve">argued the willingness of Asian central banks to hold dollar reserves </w:t>
      </w:r>
      <w:r w:rsidR="00D6170F">
        <w:rPr>
          <w:rFonts w:ascii="Times New Roman" w:hAnsi="Times New Roman" w:cs="Times New Roman"/>
          <w:sz w:val="24"/>
          <w:szCs w:val="24"/>
        </w:rPr>
        <w:t xml:space="preserve">at fixed pegs to the dollar constituted a Bretton Woods II. In effect these processes </w:t>
      </w:r>
      <w:r w:rsidR="000B2036">
        <w:rPr>
          <w:rFonts w:ascii="Times New Roman" w:hAnsi="Times New Roman" w:cs="Times New Roman"/>
          <w:sz w:val="24"/>
          <w:szCs w:val="24"/>
        </w:rPr>
        <w:t xml:space="preserve">reestablished the </w:t>
      </w:r>
      <w:r w:rsidR="000014D7">
        <w:rPr>
          <w:rFonts w:ascii="Times New Roman" w:hAnsi="Times New Roman" w:cs="Times New Roman"/>
          <w:sz w:val="24"/>
          <w:szCs w:val="24"/>
        </w:rPr>
        <w:t>US</w:t>
      </w:r>
      <w:r w:rsidR="000B2036">
        <w:rPr>
          <w:rFonts w:ascii="Times New Roman" w:hAnsi="Times New Roman" w:cs="Times New Roman"/>
          <w:sz w:val="24"/>
          <w:szCs w:val="24"/>
        </w:rPr>
        <w:t xml:space="preserve"> </w:t>
      </w:r>
      <w:r w:rsidR="00983E10">
        <w:rPr>
          <w:rFonts w:ascii="Times New Roman" w:hAnsi="Times New Roman" w:cs="Times New Roman"/>
          <w:sz w:val="24"/>
          <w:szCs w:val="24"/>
        </w:rPr>
        <w:t xml:space="preserve">and the dollar </w:t>
      </w:r>
      <w:r w:rsidR="000B2036">
        <w:rPr>
          <w:rFonts w:ascii="Times New Roman" w:hAnsi="Times New Roman" w:cs="Times New Roman"/>
          <w:sz w:val="24"/>
          <w:szCs w:val="24"/>
        </w:rPr>
        <w:t>at the center of the international monetary system</w:t>
      </w:r>
      <w:r>
        <w:rPr>
          <w:rFonts w:ascii="Times New Roman" w:hAnsi="Times New Roman" w:cs="Times New Roman"/>
          <w:sz w:val="24"/>
          <w:szCs w:val="24"/>
        </w:rPr>
        <w:t>.</w:t>
      </w:r>
      <w:r w:rsidR="00983E10">
        <w:rPr>
          <w:rFonts w:ascii="Times New Roman" w:hAnsi="Times New Roman" w:cs="Times New Roman"/>
          <w:sz w:val="24"/>
          <w:szCs w:val="24"/>
        </w:rPr>
        <w:t xml:space="preserve"> </w:t>
      </w:r>
      <w:r w:rsidR="00DE6C7B" w:rsidRPr="00583FB3">
        <w:rPr>
          <w:rFonts w:ascii="Times New Roman" w:hAnsi="Times New Roman" w:cs="Times New Roman"/>
          <w:sz w:val="24"/>
          <w:szCs w:val="24"/>
        </w:rPr>
        <w:t xml:space="preserve">Dooley et al. </w:t>
      </w:r>
      <w:r w:rsidR="00DE6C7B">
        <w:rPr>
          <w:rFonts w:ascii="Times New Roman" w:hAnsi="Times New Roman" w:cs="Times New Roman"/>
          <w:sz w:val="24"/>
          <w:szCs w:val="24"/>
        </w:rPr>
        <w:t>(2004)</w:t>
      </w:r>
      <w:r>
        <w:rPr>
          <w:rFonts w:ascii="Times New Roman" w:hAnsi="Times New Roman" w:cs="Times New Roman"/>
          <w:sz w:val="24"/>
          <w:szCs w:val="24"/>
        </w:rPr>
        <w:t xml:space="preserve"> argued</w:t>
      </w:r>
      <w:r w:rsidR="00983E10">
        <w:rPr>
          <w:rFonts w:ascii="Times New Roman" w:hAnsi="Times New Roman" w:cs="Times New Roman"/>
          <w:sz w:val="24"/>
          <w:szCs w:val="24"/>
        </w:rPr>
        <w:t xml:space="preserve"> that this was </w:t>
      </w:r>
      <w:r>
        <w:rPr>
          <w:rFonts w:ascii="Times New Roman" w:hAnsi="Times New Roman" w:cs="Times New Roman"/>
          <w:sz w:val="24"/>
          <w:szCs w:val="24"/>
        </w:rPr>
        <w:t xml:space="preserve">a </w:t>
      </w:r>
      <w:r w:rsidR="00983E10">
        <w:rPr>
          <w:rFonts w:ascii="Times New Roman" w:hAnsi="Times New Roman" w:cs="Times New Roman"/>
          <w:sz w:val="24"/>
          <w:szCs w:val="24"/>
        </w:rPr>
        <w:t xml:space="preserve">relatively stable arrangement due to Asia’s need to sustain depreciation against the dollar to support their export-led growth strategies. </w:t>
      </w:r>
    </w:p>
    <w:p w:rsidR="00A07F21" w:rsidRDefault="00D81CE5"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Closely related to the observations of Bretton Woods II is the claim that the role of the dollar as world reserve currency confers the </w:t>
      </w:r>
      <w:r w:rsidR="000014D7">
        <w:rPr>
          <w:rFonts w:ascii="Times New Roman" w:hAnsi="Times New Roman" w:cs="Times New Roman"/>
          <w:sz w:val="24"/>
          <w:szCs w:val="24"/>
        </w:rPr>
        <w:t>US</w:t>
      </w:r>
      <w:r>
        <w:rPr>
          <w:rFonts w:ascii="Times New Roman" w:hAnsi="Times New Roman" w:cs="Times New Roman"/>
          <w:sz w:val="24"/>
          <w:szCs w:val="24"/>
        </w:rPr>
        <w:t xml:space="preserve"> with an “exorbitant privilege.” Th</w:t>
      </w:r>
      <w:r w:rsidR="006E7EEF">
        <w:rPr>
          <w:rFonts w:ascii="Times New Roman" w:hAnsi="Times New Roman" w:cs="Times New Roman"/>
          <w:sz w:val="24"/>
          <w:szCs w:val="24"/>
        </w:rPr>
        <w:t xml:space="preserve">is approach focuses on the distributional impacts of the dollar standard. Specifically, the </w:t>
      </w:r>
      <w:r w:rsidR="000014D7">
        <w:rPr>
          <w:rFonts w:ascii="Times New Roman" w:hAnsi="Times New Roman" w:cs="Times New Roman"/>
          <w:sz w:val="24"/>
          <w:szCs w:val="24"/>
        </w:rPr>
        <w:t>US</w:t>
      </w:r>
      <w:r w:rsidR="006E7EEF">
        <w:rPr>
          <w:rFonts w:ascii="Times New Roman" w:hAnsi="Times New Roman" w:cs="Times New Roman"/>
          <w:sz w:val="24"/>
          <w:szCs w:val="24"/>
        </w:rPr>
        <w:t xml:space="preserve"> has </w:t>
      </w:r>
      <w:r w:rsidR="00A07F21">
        <w:rPr>
          <w:rFonts w:ascii="Times New Roman" w:hAnsi="Times New Roman" w:cs="Times New Roman"/>
          <w:sz w:val="24"/>
          <w:szCs w:val="24"/>
        </w:rPr>
        <w:t>greater return</w:t>
      </w:r>
      <w:r w:rsidR="006E7EEF">
        <w:rPr>
          <w:rFonts w:ascii="Times New Roman" w:hAnsi="Times New Roman" w:cs="Times New Roman"/>
          <w:sz w:val="24"/>
          <w:szCs w:val="24"/>
        </w:rPr>
        <w:t xml:space="preserve"> on </w:t>
      </w:r>
      <w:r w:rsidR="00122F6A">
        <w:rPr>
          <w:rFonts w:ascii="Times New Roman" w:hAnsi="Times New Roman" w:cs="Times New Roman"/>
          <w:sz w:val="24"/>
          <w:szCs w:val="24"/>
        </w:rPr>
        <w:t>global assets</w:t>
      </w:r>
      <w:r w:rsidR="006E7EEF">
        <w:rPr>
          <w:rFonts w:ascii="Times New Roman" w:hAnsi="Times New Roman" w:cs="Times New Roman"/>
          <w:sz w:val="24"/>
          <w:szCs w:val="24"/>
        </w:rPr>
        <w:t xml:space="preserve"> </w:t>
      </w:r>
      <w:r w:rsidR="00A07F21">
        <w:rPr>
          <w:rFonts w:ascii="Times New Roman" w:hAnsi="Times New Roman" w:cs="Times New Roman"/>
          <w:sz w:val="24"/>
          <w:szCs w:val="24"/>
        </w:rPr>
        <w:t>than its</w:t>
      </w:r>
      <w:r w:rsidR="006E7EEF">
        <w:rPr>
          <w:rFonts w:ascii="Times New Roman" w:hAnsi="Times New Roman" w:cs="Times New Roman"/>
          <w:sz w:val="24"/>
          <w:szCs w:val="24"/>
        </w:rPr>
        <w:t xml:space="preserve"> external debt </w:t>
      </w:r>
      <w:r w:rsidR="00A07F21">
        <w:rPr>
          <w:rFonts w:ascii="Times New Roman" w:hAnsi="Times New Roman" w:cs="Times New Roman"/>
          <w:sz w:val="24"/>
          <w:szCs w:val="24"/>
        </w:rPr>
        <w:t xml:space="preserve">obligations, despite </w:t>
      </w:r>
      <w:r w:rsidR="00F3216D">
        <w:rPr>
          <w:rFonts w:ascii="Times New Roman" w:hAnsi="Times New Roman" w:cs="Times New Roman"/>
          <w:sz w:val="24"/>
          <w:szCs w:val="24"/>
        </w:rPr>
        <w:t>the fact that</w:t>
      </w:r>
      <w:r w:rsidR="00A07F21">
        <w:rPr>
          <w:rFonts w:ascii="Times New Roman" w:hAnsi="Times New Roman" w:cs="Times New Roman"/>
          <w:sz w:val="24"/>
          <w:szCs w:val="24"/>
        </w:rPr>
        <w:t xml:space="preserve"> liabilities </w:t>
      </w:r>
      <w:r w:rsidR="00F3216D">
        <w:rPr>
          <w:rFonts w:ascii="Times New Roman" w:hAnsi="Times New Roman" w:cs="Times New Roman"/>
          <w:sz w:val="24"/>
          <w:szCs w:val="24"/>
        </w:rPr>
        <w:t xml:space="preserve">far surpass assets </w:t>
      </w:r>
      <w:r w:rsidR="00DA2DFA">
        <w:rPr>
          <w:rFonts w:ascii="Times New Roman" w:hAnsi="Times New Roman" w:cs="Times New Roman"/>
          <w:sz w:val="24"/>
          <w:szCs w:val="24"/>
        </w:rPr>
        <w:t>(</w:t>
      </w:r>
      <w:proofErr w:type="spellStart"/>
      <w:r w:rsidR="00DA2DFA" w:rsidRPr="006E7EEF">
        <w:rPr>
          <w:rFonts w:ascii="Times New Roman" w:hAnsi="Times New Roman" w:cs="Times New Roman"/>
          <w:sz w:val="24"/>
          <w:szCs w:val="24"/>
        </w:rPr>
        <w:t>Gourinchas</w:t>
      </w:r>
      <w:proofErr w:type="spellEnd"/>
      <w:r w:rsidR="00DA2DFA">
        <w:rPr>
          <w:rFonts w:ascii="Times New Roman" w:hAnsi="Times New Roman" w:cs="Times New Roman"/>
          <w:sz w:val="24"/>
          <w:szCs w:val="24"/>
        </w:rPr>
        <w:t xml:space="preserve"> &amp;</w:t>
      </w:r>
      <w:r w:rsidR="00DA2DFA" w:rsidRPr="006E7EEF">
        <w:rPr>
          <w:rFonts w:ascii="Times New Roman" w:hAnsi="Times New Roman" w:cs="Times New Roman"/>
          <w:sz w:val="24"/>
          <w:szCs w:val="24"/>
        </w:rPr>
        <w:t xml:space="preserve"> Rey</w:t>
      </w:r>
      <w:r w:rsidR="00DA2DFA">
        <w:rPr>
          <w:rFonts w:ascii="Times New Roman" w:hAnsi="Times New Roman" w:cs="Times New Roman"/>
          <w:sz w:val="24"/>
          <w:szCs w:val="24"/>
        </w:rPr>
        <w:t xml:space="preserve"> 200</w:t>
      </w:r>
      <w:r w:rsidR="001E4EDA">
        <w:rPr>
          <w:rFonts w:ascii="Times New Roman" w:hAnsi="Times New Roman" w:cs="Times New Roman"/>
          <w:sz w:val="24"/>
          <w:szCs w:val="24"/>
        </w:rPr>
        <w:t>5</w:t>
      </w:r>
      <w:r w:rsidR="00DA2DFA">
        <w:rPr>
          <w:rFonts w:ascii="Times New Roman" w:hAnsi="Times New Roman" w:cs="Times New Roman"/>
          <w:sz w:val="24"/>
          <w:szCs w:val="24"/>
        </w:rPr>
        <w:t>). Moreover,</w:t>
      </w:r>
      <w:r w:rsidR="006E7EEF">
        <w:rPr>
          <w:rFonts w:ascii="Times New Roman" w:hAnsi="Times New Roman" w:cs="Times New Roman"/>
          <w:sz w:val="24"/>
          <w:szCs w:val="24"/>
        </w:rPr>
        <w:t xml:space="preserve"> this is unique to the </w:t>
      </w:r>
      <w:r w:rsidR="000014D7">
        <w:rPr>
          <w:rFonts w:ascii="Times New Roman" w:hAnsi="Times New Roman" w:cs="Times New Roman"/>
          <w:sz w:val="24"/>
          <w:szCs w:val="24"/>
        </w:rPr>
        <w:t>US</w:t>
      </w:r>
      <w:r w:rsidR="006E7EEF">
        <w:rPr>
          <w:rFonts w:ascii="Times New Roman" w:hAnsi="Times New Roman" w:cs="Times New Roman"/>
          <w:sz w:val="24"/>
          <w:szCs w:val="24"/>
        </w:rPr>
        <w:t xml:space="preserve"> due to the fact that the </w:t>
      </w:r>
      <w:r w:rsidR="000014D7">
        <w:rPr>
          <w:rFonts w:ascii="Times New Roman" w:hAnsi="Times New Roman" w:cs="Times New Roman"/>
          <w:sz w:val="24"/>
          <w:szCs w:val="24"/>
        </w:rPr>
        <w:t>US</w:t>
      </w:r>
      <w:r w:rsidR="006E7EEF">
        <w:rPr>
          <w:rFonts w:ascii="Times New Roman" w:hAnsi="Times New Roman" w:cs="Times New Roman"/>
          <w:sz w:val="24"/>
          <w:szCs w:val="24"/>
        </w:rPr>
        <w:t xml:space="preserve"> issues the world reserve currency. </w:t>
      </w:r>
      <w:r w:rsidR="00110602">
        <w:rPr>
          <w:rFonts w:ascii="Times New Roman" w:hAnsi="Times New Roman" w:cs="Times New Roman"/>
          <w:sz w:val="24"/>
          <w:szCs w:val="24"/>
        </w:rPr>
        <w:t xml:space="preserve">Economists </w:t>
      </w:r>
      <w:proofErr w:type="spellStart"/>
      <w:r w:rsidR="00A07F21" w:rsidRPr="00A07F21">
        <w:rPr>
          <w:rFonts w:ascii="Times New Roman" w:hAnsi="Times New Roman" w:cs="Times New Roman"/>
          <w:sz w:val="24"/>
          <w:szCs w:val="24"/>
        </w:rPr>
        <w:t>Kindleberger</w:t>
      </w:r>
      <w:proofErr w:type="spellEnd"/>
      <w:r w:rsidR="00A07F21" w:rsidRPr="00A07F21">
        <w:rPr>
          <w:rFonts w:ascii="Times New Roman" w:hAnsi="Times New Roman" w:cs="Times New Roman"/>
          <w:sz w:val="24"/>
          <w:szCs w:val="24"/>
        </w:rPr>
        <w:t xml:space="preserve"> (1965) and </w:t>
      </w:r>
      <w:proofErr w:type="spellStart"/>
      <w:r w:rsidR="00A07F21" w:rsidRPr="00A07F21">
        <w:rPr>
          <w:rFonts w:ascii="Times New Roman" w:hAnsi="Times New Roman" w:cs="Times New Roman"/>
          <w:sz w:val="24"/>
          <w:szCs w:val="24"/>
        </w:rPr>
        <w:t>Despres</w:t>
      </w:r>
      <w:proofErr w:type="spellEnd"/>
      <w:r w:rsidR="00A07F21">
        <w:rPr>
          <w:rFonts w:ascii="Times New Roman" w:hAnsi="Times New Roman" w:cs="Times New Roman"/>
          <w:sz w:val="24"/>
          <w:szCs w:val="24"/>
        </w:rPr>
        <w:t xml:space="preserve"> et. al.</w:t>
      </w:r>
      <w:r w:rsidR="00A07F21" w:rsidRPr="00A07F21">
        <w:rPr>
          <w:rFonts w:ascii="Times New Roman" w:hAnsi="Times New Roman" w:cs="Times New Roman"/>
          <w:sz w:val="24"/>
          <w:szCs w:val="24"/>
        </w:rPr>
        <w:t xml:space="preserve"> (1966), </w:t>
      </w:r>
      <w:r w:rsidR="00A07F21">
        <w:rPr>
          <w:rFonts w:ascii="Times New Roman" w:hAnsi="Times New Roman" w:cs="Times New Roman"/>
          <w:sz w:val="24"/>
          <w:szCs w:val="24"/>
        </w:rPr>
        <w:t xml:space="preserve">described the flows as </w:t>
      </w:r>
      <w:r w:rsidR="00A07F21" w:rsidRPr="00A07F21">
        <w:rPr>
          <w:rFonts w:ascii="Times New Roman" w:hAnsi="Times New Roman" w:cs="Times New Roman"/>
          <w:sz w:val="24"/>
          <w:szCs w:val="24"/>
        </w:rPr>
        <w:t xml:space="preserve">the </w:t>
      </w:r>
      <w:r w:rsidR="000014D7">
        <w:rPr>
          <w:rFonts w:ascii="Times New Roman" w:hAnsi="Times New Roman" w:cs="Times New Roman"/>
          <w:sz w:val="24"/>
          <w:szCs w:val="24"/>
        </w:rPr>
        <w:t>US</w:t>
      </w:r>
      <w:r w:rsidR="00A07F21">
        <w:rPr>
          <w:rFonts w:ascii="Times New Roman" w:hAnsi="Times New Roman" w:cs="Times New Roman"/>
          <w:sz w:val="24"/>
          <w:szCs w:val="24"/>
        </w:rPr>
        <w:t xml:space="preserve"> acting </w:t>
      </w:r>
      <w:r w:rsidR="00A07F21" w:rsidRPr="00A07F21">
        <w:rPr>
          <w:rFonts w:ascii="Times New Roman" w:hAnsi="Times New Roman" w:cs="Times New Roman"/>
          <w:sz w:val="24"/>
          <w:szCs w:val="24"/>
        </w:rPr>
        <w:t>as the “</w:t>
      </w:r>
      <w:r w:rsidR="00A07F21">
        <w:rPr>
          <w:rFonts w:ascii="Times New Roman" w:hAnsi="Times New Roman" w:cs="Times New Roman"/>
          <w:sz w:val="24"/>
          <w:szCs w:val="24"/>
        </w:rPr>
        <w:t>b</w:t>
      </w:r>
      <w:r w:rsidR="00A07F21" w:rsidRPr="00A07F21">
        <w:rPr>
          <w:rFonts w:ascii="Times New Roman" w:hAnsi="Times New Roman" w:cs="Times New Roman"/>
          <w:sz w:val="24"/>
          <w:szCs w:val="24"/>
        </w:rPr>
        <w:t xml:space="preserve">anker of the </w:t>
      </w:r>
      <w:r w:rsidR="00A07F21">
        <w:rPr>
          <w:rFonts w:ascii="Times New Roman" w:hAnsi="Times New Roman" w:cs="Times New Roman"/>
          <w:sz w:val="24"/>
          <w:szCs w:val="24"/>
        </w:rPr>
        <w:t>w</w:t>
      </w:r>
      <w:r w:rsidR="00A07F21" w:rsidRPr="00A07F21">
        <w:rPr>
          <w:rFonts w:ascii="Times New Roman" w:hAnsi="Times New Roman" w:cs="Times New Roman"/>
          <w:sz w:val="24"/>
          <w:szCs w:val="24"/>
        </w:rPr>
        <w:t xml:space="preserve">orld” </w:t>
      </w:r>
      <w:r w:rsidR="00A07F21">
        <w:rPr>
          <w:rFonts w:ascii="Times New Roman" w:hAnsi="Times New Roman" w:cs="Times New Roman"/>
          <w:sz w:val="24"/>
          <w:szCs w:val="24"/>
        </w:rPr>
        <w:t xml:space="preserve">in which the </w:t>
      </w:r>
      <w:r w:rsidR="000014D7">
        <w:rPr>
          <w:rFonts w:ascii="Times New Roman" w:hAnsi="Times New Roman" w:cs="Times New Roman"/>
          <w:sz w:val="24"/>
          <w:szCs w:val="24"/>
        </w:rPr>
        <w:t>US</w:t>
      </w:r>
      <w:r w:rsidR="00A07F21">
        <w:rPr>
          <w:rFonts w:ascii="Times New Roman" w:hAnsi="Times New Roman" w:cs="Times New Roman"/>
          <w:sz w:val="24"/>
          <w:szCs w:val="24"/>
        </w:rPr>
        <w:t xml:space="preserve"> would lend long and borrow short</w:t>
      </w:r>
      <w:r w:rsidR="00A07F21" w:rsidRPr="00A07F21">
        <w:rPr>
          <w:rFonts w:ascii="Times New Roman" w:hAnsi="Times New Roman" w:cs="Times New Roman"/>
          <w:sz w:val="24"/>
          <w:szCs w:val="24"/>
        </w:rPr>
        <w:t>.</w:t>
      </w:r>
      <w:r w:rsidR="00A07F21">
        <w:rPr>
          <w:rFonts w:ascii="Times New Roman" w:hAnsi="Times New Roman" w:cs="Times New Roman"/>
          <w:sz w:val="24"/>
          <w:szCs w:val="24"/>
        </w:rPr>
        <w:t xml:space="preserve"> </w:t>
      </w:r>
      <w:r w:rsidR="00110602">
        <w:rPr>
          <w:rFonts w:ascii="Times New Roman" w:hAnsi="Times New Roman" w:cs="Times New Roman"/>
          <w:sz w:val="24"/>
          <w:szCs w:val="24"/>
        </w:rPr>
        <w:t xml:space="preserve">Economists </w:t>
      </w:r>
      <w:proofErr w:type="spellStart"/>
      <w:r w:rsidR="000C3581" w:rsidRPr="006E7EEF">
        <w:rPr>
          <w:rFonts w:ascii="Times New Roman" w:hAnsi="Times New Roman" w:cs="Times New Roman"/>
          <w:sz w:val="24"/>
          <w:szCs w:val="24"/>
        </w:rPr>
        <w:t>Gourinchas</w:t>
      </w:r>
      <w:proofErr w:type="spellEnd"/>
      <w:r w:rsidR="000C3581">
        <w:rPr>
          <w:rFonts w:ascii="Times New Roman" w:hAnsi="Times New Roman" w:cs="Times New Roman"/>
          <w:sz w:val="24"/>
          <w:szCs w:val="24"/>
        </w:rPr>
        <w:t xml:space="preserve"> and</w:t>
      </w:r>
      <w:r w:rsidR="000C3581" w:rsidRPr="006E7EEF">
        <w:rPr>
          <w:rFonts w:ascii="Times New Roman" w:hAnsi="Times New Roman" w:cs="Times New Roman"/>
          <w:sz w:val="24"/>
          <w:szCs w:val="24"/>
        </w:rPr>
        <w:t xml:space="preserve"> Rey</w:t>
      </w:r>
      <w:r w:rsidR="000C3581">
        <w:rPr>
          <w:rFonts w:ascii="Times New Roman" w:hAnsi="Times New Roman" w:cs="Times New Roman"/>
          <w:sz w:val="24"/>
          <w:szCs w:val="24"/>
        </w:rPr>
        <w:t xml:space="preserve"> (200</w:t>
      </w:r>
      <w:r w:rsidR="001E4EDA">
        <w:rPr>
          <w:rFonts w:ascii="Times New Roman" w:hAnsi="Times New Roman" w:cs="Times New Roman"/>
          <w:sz w:val="24"/>
          <w:szCs w:val="24"/>
        </w:rPr>
        <w:t>5</w:t>
      </w:r>
      <w:r w:rsidR="000C3581">
        <w:rPr>
          <w:rFonts w:ascii="Times New Roman" w:hAnsi="Times New Roman" w:cs="Times New Roman"/>
          <w:sz w:val="24"/>
          <w:szCs w:val="24"/>
        </w:rPr>
        <w:t xml:space="preserve">), </w:t>
      </w:r>
      <w:r w:rsidR="000C3581" w:rsidRPr="000C3581">
        <w:rPr>
          <w:rFonts w:ascii="Times New Roman" w:hAnsi="Times New Roman" w:cs="Times New Roman"/>
          <w:sz w:val="24"/>
          <w:szCs w:val="24"/>
        </w:rPr>
        <w:t>Habib</w:t>
      </w:r>
      <w:r w:rsidR="000C3581">
        <w:rPr>
          <w:rFonts w:ascii="Times New Roman" w:hAnsi="Times New Roman" w:cs="Times New Roman"/>
          <w:sz w:val="24"/>
          <w:szCs w:val="24"/>
        </w:rPr>
        <w:t xml:space="preserve"> (2010), </w:t>
      </w:r>
      <w:proofErr w:type="spellStart"/>
      <w:r w:rsidR="000C3581" w:rsidRPr="000C3581">
        <w:rPr>
          <w:rFonts w:ascii="Times New Roman" w:hAnsi="Times New Roman" w:cs="Times New Roman"/>
          <w:sz w:val="24"/>
          <w:szCs w:val="24"/>
        </w:rPr>
        <w:t>Curcuru</w:t>
      </w:r>
      <w:proofErr w:type="spellEnd"/>
      <w:r w:rsidR="000C3581">
        <w:rPr>
          <w:rFonts w:ascii="Times New Roman" w:hAnsi="Times New Roman" w:cs="Times New Roman"/>
          <w:sz w:val="24"/>
          <w:szCs w:val="24"/>
        </w:rPr>
        <w:t xml:space="preserve"> et. al. (2013) empirically demonstrated these dynamics by comparing return differentials on </w:t>
      </w:r>
      <w:r w:rsidR="000014D7">
        <w:rPr>
          <w:rFonts w:ascii="Times New Roman" w:hAnsi="Times New Roman" w:cs="Times New Roman"/>
          <w:sz w:val="24"/>
          <w:szCs w:val="24"/>
        </w:rPr>
        <w:t>US</w:t>
      </w:r>
      <w:r w:rsidR="000C3581">
        <w:rPr>
          <w:rFonts w:ascii="Times New Roman" w:hAnsi="Times New Roman" w:cs="Times New Roman"/>
          <w:sz w:val="24"/>
          <w:szCs w:val="24"/>
        </w:rPr>
        <w:t xml:space="preserve"> assets and liabilities.</w:t>
      </w:r>
    </w:p>
    <w:p w:rsidR="000B2036" w:rsidRDefault="000B2036" w:rsidP="002677C2">
      <w:pPr>
        <w:spacing w:after="0" w:line="240" w:lineRule="auto"/>
        <w:contextualSpacing/>
        <w:rPr>
          <w:rFonts w:ascii="Times New Roman" w:hAnsi="Times New Roman" w:cs="Times New Roman"/>
          <w:sz w:val="24"/>
          <w:szCs w:val="24"/>
        </w:rPr>
      </w:pPr>
    </w:p>
    <w:p w:rsidR="006531B4" w:rsidRDefault="006531B4" w:rsidP="002677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II.C. The Need for a Sociological Perspective</w:t>
      </w:r>
    </w:p>
    <w:p w:rsidR="00664D5F" w:rsidRDefault="00D81CE5" w:rsidP="002677C2">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above approaches </w:t>
      </w:r>
      <w:r w:rsidR="005D17C5">
        <w:rPr>
          <w:rFonts w:ascii="Times New Roman" w:hAnsi="Times New Roman" w:cs="Times New Roman"/>
          <w:sz w:val="24"/>
          <w:szCs w:val="24"/>
        </w:rPr>
        <w:t>focus o</w:t>
      </w:r>
      <w:r>
        <w:rPr>
          <w:rFonts w:ascii="Times New Roman" w:hAnsi="Times New Roman" w:cs="Times New Roman"/>
          <w:sz w:val="24"/>
          <w:szCs w:val="24"/>
        </w:rPr>
        <w:t xml:space="preserve">n stocks and flows of </w:t>
      </w:r>
      <w:r w:rsidR="000E1B65">
        <w:rPr>
          <w:rFonts w:ascii="Times New Roman" w:hAnsi="Times New Roman" w:cs="Times New Roman"/>
          <w:sz w:val="24"/>
          <w:szCs w:val="24"/>
        </w:rPr>
        <w:t>commodities</w:t>
      </w:r>
      <w:r>
        <w:rPr>
          <w:rFonts w:ascii="Times New Roman" w:hAnsi="Times New Roman" w:cs="Times New Roman"/>
          <w:sz w:val="24"/>
          <w:szCs w:val="24"/>
        </w:rPr>
        <w:t xml:space="preserve"> and capital. </w:t>
      </w:r>
      <w:r w:rsidR="000E1B65">
        <w:rPr>
          <w:rFonts w:ascii="Times New Roman" w:hAnsi="Times New Roman" w:cs="Times New Roman"/>
          <w:sz w:val="24"/>
          <w:szCs w:val="24"/>
        </w:rPr>
        <w:t xml:space="preserve">From these perspectives, the dollar standard and trade imbalances are primarily the result of market forces. </w:t>
      </w:r>
      <w:r>
        <w:rPr>
          <w:rFonts w:ascii="Times New Roman" w:hAnsi="Times New Roman" w:cs="Times New Roman"/>
          <w:sz w:val="24"/>
          <w:szCs w:val="24"/>
        </w:rPr>
        <w:t>There is no discussion of the actors involved</w:t>
      </w:r>
      <w:r w:rsidR="000E1B65">
        <w:rPr>
          <w:rFonts w:ascii="Times New Roman" w:hAnsi="Times New Roman" w:cs="Times New Roman"/>
          <w:sz w:val="24"/>
          <w:szCs w:val="24"/>
        </w:rPr>
        <w:t xml:space="preserve"> and</w:t>
      </w:r>
      <w:r>
        <w:rPr>
          <w:rFonts w:ascii="Times New Roman" w:hAnsi="Times New Roman" w:cs="Times New Roman"/>
          <w:sz w:val="24"/>
          <w:szCs w:val="24"/>
        </w:rPr>
        <w:t xml:space="preserve"> their agency. </w:t>
      </w:r>
      <w:r w:rsidR="000E1B65">
        <w:rPr>
          <w:rFonts w:ascii="Times New Roman" w:hAnsi="Times New Roman" w:cs="Times New Roman"/>
          <w:sz w:val="24"/>
          <w:szCs w:val="24"/>
        </w:rPr>
        <w:t xml:space="preserve">This </w:t>
      </w:r>
      <w:r w:rsidR="001B64F6">
        <w:rPr>
          <w:rFonts w:ascii="Times New Roman" w:hAnsi="Times New Roman" w:cs="Times New Roman"/>
          <w:sz w:val="24"/>
          <w:szCs w:val="24"/>
        </w:rPr>
        <w:t>creates the need for sociological accounts of the actors involved in instituting and sustaining the dollar standard</w:t>
      </w:r>
      <w:r w:rsidR="00BF7F64">
        <w:rPr>
          <w:rFonts w:ascii="Times New Roman" w:hAnsi="Times New Roman" w:cs="Times New Roman"/>
          <w:sz w:val="24"/>
          <w:szCs w:val="24"/>
        </w:rPr>
        <w:t>, in addition to</w:t>
      </w:r>
      <w:r w:rsidR="001B64F6">
        <w:rPr>
          <w:rFonts w:ascii="Times New Roman" w:hAnsi="Times New Roman" w:cs="Times New Roman"/>
          <w:sz w:val="24"/>
          <w:szCs w:val="24"/>
        </w:rPr>
        <w:t xml:space="preserve"> global imbalances.</w:t>
      </w:r>
    </w:p>
    <w:p w:rsidR="001B64F6" w:rsidRDefault="001B64F6" w:rsidP="002677C2">
      <w:pPr>
        <w:spacing w:line="240" w:lineRule="auto"/>
        <w:contextualSpacing/>
        <w:jc w:val="center"/>
        <w:rPr>
          <w:rFonts w:ascii="Times New Roman" w:hAnsi="Times New Roman" w:cs="Times New Roman"/>
          <w:b/>
          <w:sz w:val="24"/>
          <w:szCs w:val="24"/>
        </w:rPr>
      </w:pPr>
    </w:p>
    <w:p w:rsidR="00F77B49" w:rsidRPr="00890316" w:rsidRDefault="001B64F6" w:rsidP="002677C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III</w:t>
      </w:r>
      <w:r w:rsidR="00F77B49" w:rsidRPr="00890316">
        <w:rPr>
          <w:rFonts w:ascii="Times New Roman" w:hAnsi="Times New Roman" w:cs="Times New Roman"/>
          <w:b/>
          <w:sz w:val="24"/>
          <w:szCs w:val="24"/>
        </w:rPr>
        <w:t xml:space="preserve">. The Sociology of Money and the </w:t>
      </w:r>
      <w:r w:rsidR="000014D7">
        <w:rPr>
          <w:rFonts w:ascii="Times New Roman" w:hAnsi="Times New Roman" w:cs="Times New Roman"/>
          <w:b/>
          <w:sz w:val="24"/>
          <w:szCs w:val="24"/>
        </w:rPr>
        <w:t>US</w:t>
      </w:r>
      <w:r w:rsidR="00F77B49" w:rsidRPr="00890316">
        <w:rPr>
          <w:rFonts w:ascii="Times New Roman" w:hAnsi="Times New Roman" w:cs="Times New Roman"/>
          <w:b/>
          <w:sz w:val="24"/>
          <w:szCs w:val="24"/>
        </w:rPr>
        <w:t xml:space="preserve"> Dollar Standard</w:t>
      </w:r>
    </w:p>
    <w:p w:rsidR="00F77B49" w:rsidRPr="00890316" w:rsidRDefault="00110602"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above literature demonstrates that economic approaches to trade imbalances and the dollar standard are devoid of actors with agency. To that end,</w:t>
      </w:r>
      <w:r w:rsidRPr="008903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00F77B49" w:rsidRPr="00890316">
        <w:rPr>
          <w:rFonts w:ascii="Times New Roman" w:hAnsi="Times New Roman" w:cs="Times New Roman"/>
          <w:sz w:val="24"/>
          <w:szCs w:val="24"/>
          <w:shd w:val="clear" w:color="auto" w:fill="FFFFFF"/>
        </w:rPr>
        <w:t xml:space="preserve">his section outlines three </w:t>
      </w:r>
      <w:r w:rsidR="00D74FAB">
        <w:rPr>
          <w:rFonts w:ascii="Times New Roman" w:hAnsi="Times New Roman" w:cs="Times New Roman"/>
          <w:sz w:val="24"/>
          <w:szCs w:val="24"/>
          <w:shd w:val="clear" w:color="auto" w:fill="FFFFFF"/>
        </w:rPr>
        <w:t xml:space="preserve">theoretical schools of the sociology of money </w:t>
      </w:r>
      <w:r w:rsidR="00D74FAB" w:rsidRPr="00890316">
        <w:rPr>
          <w:rFonts w:ascii="Times New Roman" w:hAnsi="Times New Roman" w:cs="Times New Roman"/>
          <w:sz w:val="24"/>
          <w:szCs w:val="24"/>
          <w:shd w:val="clear" w:color="auto" w:fill="FFFFFF"/>
        </w:rPr>
        <w:t xml:space="preserve"> –</w:t>
      </w:r>
      <w:r w:rsidR="00D74FAB">
        <w:rPr>
          <w:rFonts w:ascii="Times New Roman" w:hAnsi="Times New Roman" w:cs="Times New Roman"/>
          <w:sz w:val="24"/>
          <w:szCs w:val="24"/>
          <w:shd w:val="clear" w:color="auto" w:fill="FFFFFF"/>
        </w:rPr>
        <w:t xml:space="preserve"> </w:t>
      </w:r>
      <w:r w:rsidR="000E1B65">
        <w:rPr>
          <w:rFonts w:ascii="Times New Roman" w:hAnsi="Times New Roman" w:cs="Times New Roman"/>
          <w:sz w:val="24"/>
          <w:szCs w:val="24"/>
          <w:shd w:val="clear" w:color="auto" w:fill="FFFFFF"/>
        </w:rPr>
        <w:t>statist</w:t>
      </w:r>
      <w:r w:rsidR="00F77B49" w:rsidRPr="00890316">
        <w:rPr>
          <w:rFonts w:ascii="Times New Roman" w:hAnsi="Times New Roman" w:cs="Times New Roman"/>
          <w:sz w:val="24"/>
          <w:szCs w:val="24"/>
          <w:shd w:val="clear" w:color="auto" w:fill="FFFFFF"/>
        </w:rPr>
        <w:t xml:space="preserve">, </w:t>
      </w:r>
      <w:r w:rsidR="000E1B65">
        <w:rPr>
          <w:rFonts w:ascii="Times New Roman" w:hAnsi="Times New Roman" w:cs="Times New Roman"/>
          <w:sz w:val="24"/>
          <w:szCs w:val="24"/>
          <w:shd w:val="clear" w:color="auto" w:fill="FFFFFF"/>
        </w:rPr>
        <w:t>Marxian</w:t>
      </w:r>
      <w:r w:rsidR="00F77B49" w:rsidRPr="00890316">
        <w:rPr>
          <w:rFonts w:ascii="Times New Roman" w:hAnsi="Times New Roman" w:cs="Times New Roman"/>
          <w:sz w:val="24"/>
          <w:szCs w:val="24"/>
          <w:shd w:val="clear" w:color="auto" w:fill="FFFFFF"/>
        </w:rPr>
        <w:t xml:space="preserve">, and </w:t>
      </w:r>
      <w:r w:rsidR="000E1B65">
        <w:rPr>
          <w:rFonts w:ascii="Times New Roman" w:hAnsi="Times New Roman" w:cs="Times New Roman"/>
          <w:sz w:val="24"/>
          <w:szCs w:val="24"/>
          <w:shd w:val="clear" w:color="auto" w:fill="FFFFFF"/>
        </w:rPr>
        <w:t>sociocultural</w:t>
      </w:r>
      <w:r w:rsidR="00D74FAB">
        <w:rPr>
          <w:rFonts w:ascii="Times New Roman" w:hAnsi="Times New Roman" w:cs="Times New Roman"/>
          <w:sz w:val="24"/>
          <w:szCs w:val="24"/>
          <w:shd w:val="clear" w:color="auto" w:fill="FFFFFF"/>
        </w:rPr>
        <w:t>. These are distinctively sociological approaches because the unit</w:t>
      </w:r>
      <w:r w:rsidR="00BF7F64">
        <w:rPr>
          <w:rFonts w:ascii="Times New Roman" w:hAnsi="Times New Roman" w:cs="Times New Roman"/>
          <w:sz w:val="24"/>
          <w:szCs w:val="24"/>
          <w:shd w:val="clear" w:color="auto" w:fill="FFFFFF"/>
        </w:rPr>
        <w:t>s</w:t>
      </w:r>
      <w:r w:rsidR="00D74FAB">
        <w:rPr>
          <w:rFonts w:ascii="Times New Roman" w:hAnsi="Times New Roman" w:cs="Times New Roman"/>
          <w:sz w:val="24"/>
          <w:szCs w:val="24"/>
          <w:shd w:val="clear" w:color="auto" w:fill="FFFFFF"/>
        </w:rPr>
        <w:t xml:space="preserve"> of analyses </w:t>
      </w:r>
      <w:r w:rsidR="00BF7F64">
        <w:rPr>
          <w:rFonts w:ascii="Times New Roman" w:hAnsi="Times New Roman" w:cs="Times New Roman"/>
          <w:sz w:val="24"/>
          <w:szCs w:val="24"/>
          <w:shd w:val="clear" w:color="auto" w:fill="FFFFFF"/>
        </w:rPr>
        <w:t>are</w:t>
      </w:r>
      <w:r w:rsidR="00D74FAB">
        <w:rPr>
          <w:rFonts w:ascii="Times New Roman" w:hAnsi="Times New Roman" w:cs="Times New Roman"/>
          <w:sz w:val="24"/>
          <w:szCs w:val="24"/>
          <w:shd w:val="clear" w:color="auto" w:fill="FFFFFF"/>
        </w:rPr>
        <w:t xml:space="preserve"> groups of people, whereas in economics the units of analyses are </w:t>
      </w:r>
      <w:r w:rsidR="00BF7F64">
        <w:rPr>
          <w:rFonts w:ascii="Times New Roman" w:hAnsi="Times New Roman" w:cs="Times New Roman"/>
          <w:sz w:val="24"/>
          <w:szCs w:val="24"/>
          <w:shd w:val="clear" w:color="auto" w:fill="FFFFFF"/>
        </w:rPr>
        <w:t xml:space="preserve">transactions of </w:t>
      </w:r>
      <w:r w:rsidR="00D74FAB">
        <w:rPr>
          <w:rFonts w:ascii="Times New Roman" w:hAnsi="Times New Roman" w:cs="Times New Roman"/>
          <w:sz w:val="24"/>
          <w:szCs w:val="24"/>
          <w:shd w:val="clear" w:color="auto" w:fill="FFFFFF"/>
        </w:rPr>
        <w:t>commodit</w:t>
      </w:r>
      <w:r w:rsidR="00BF7F64">
        <w:rPr>
          <w:rFonts w:ascii="Times New Roman" w:hAnsi="Times New Roman" w:cs="Times New Roman"/>
          <w:sz w:val="24"/>
          <w:szCs w:val="24"/>
          <w:shd w:val="clear" w:color="auto" w:fill="FFFFFF"/>
        </w:rPr>
        <w:t>ies</w:t>
      </w:r>
      <w:r w:rsidR="00D74FAB">
        <w:rPr>
          <w:rFonts w:ascii="Times New Roman" w:hAnsi="Times New Roman" w:cs="Times New Roman"/>
          <w:sz w:val="24"/>
          <w:szCs w:val="24"/>
          <w:shd w:val="clear" w:color="auto" w:fill="FFFFFF"/>
        </w:rPr>
        <w:t xml:space="preserve"> and capital. For each theoretical school I introduce their definition of money and </w:t>
      </w:r>
      <w:r w:rsidR="00BF7F64">
        <w:rPr>
          <w:rFonts w:ascii="Times New Roman" w:hAnsi="Times New Roman" w:cs="Times New Roman"/>
          <w:sz w:val="24"/>
          <w:szCs w:val="24"/>
          <w:shd w:val="clear" w:color="auto" w:fill="FFFFFF"/>
        </w:rPr>
        <w:t xml:space="preserve">an </w:t>
      </w:r>
      <w:r w:rsidR="00D74FAB">
        <w:rPr>
          <w:rFonts w:ascii="Times New Roman" w:hAnsi="Times New Roman" w:cs="Times New Roman"/>
          <w:sz w:val="24"/>
          <w:szCs w:val="24"/>
          <w:shd w:val="clear" w:color="auto" w:fill="FFFFFF"/>
        </w:rPr>
        <w:t>application to the dollar standard.</w:t>
      </w:r>
    </w:p>
    <w:p w:rsidR="00F77B49" w:rsidRPr="00890316" w:rsidRDefault="00F77B49" w:rsidP="002677C2">
      <w:pPr>
        <w:spacing w:line="240" w:lineRule="auto"/>
        <w:ind w:firstLine="720"/>
        <w:contextualSpacing/>
        <w:rPr>
          <w:rFonts w:ascii="Times New Roman" w:hAnsi="Times New Roman" w:cs="Times New Roman"/>
          <w:sz w:val="24"/>
          <w:szCs w:val="24"/>
          <w:shd w:val="clear" w:color="auto" w:fill="FFFFFF"/>
        </w:rPr>
      </w:pPr>
    </w:p>
    <w:p w:rsidR="00F77B49" w:rsidRPr="00890316" w:rsidRDefault="00DC4D69" w:rsidP="002677C2">
      <w:pPr>
        <w:spacing w:line="240" w:lineRule="auto"/>
        <w:contextualSpacing/>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Statist</w:t>
      </w:r>
    </w:p>
    <w:p w:rsidR="00F40C46" w:rsidRDefault="00792ED2"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original formulation of the state theory of money is attributed to German political economist </w:t>
      </w:r>
      <w:r w:rsidR="00DC4D69" w:rsidRPr="00DC4D69">
        <w:rPr>
          <w:rFonts w:ascii="Times New Roman" w:hAnsi="Times New Roman" w:cs="Times New Roman"/>
          <w:sz w:val="24"/>
          <w:szCs w:val="24"/>
          <w:shd w:val="clear" w:color="auto" w:fill="FFFFFF"/>
        </w:rPr>
        <w:t xml:space="preserve">Knapp, </w:t>
      </w:r>
      <w:r>
        <w:rPr>
          <w:rFonts w:ascii="Times New Roman" w:hAnsi="Times New Roman" w:cs="Times New Roman"/>
          <w:sz w:val="24"/>
          <w:szCs w:val="24"/>
          <w:shd w:val="clear" w:color="auto" w:fill="FFFFFF"/>
        </w:rPr>
        <w:t>who argued that “</w:t>
      </w:r>
      <w:r w:rsidRPr="00792ED2">
        <w:rPr>
          <w:rFonts w:ascii="Times New Roman" w:hAnsi="Times New Roman" w:cs="Times New Roman"/>
          <w:sz w:val="24"/>
          <w:szCs w:val="24"/>
          <w:shd w:val="clear" w:color="auto" w:fill="FFFFFF"/>
        </w:rPr>
        <w:t xml:space="preserve">money is a creature of </w:t>
      </w:r>
      <w:r>
        <w:rPr>
          <w:rFonts w:ascii="Times New Roman" w:hAnsi="Times New Roman" w:cs="Times New Roman"/>
          <w:sz w:val="24"/>
          <w:szCs w:val="24"/>
          <w:shd w:val="clear" w:color="auto" w:fill="FFFFFF"/>
        </w:rPr>
        <w:t>law” (19</w:t>
      </w:r>
      <w:r w:rsidR="00F20507">
        <w:rPr>
          <w:rFonts w:ascii="Times New Roman" w:hAnsi="Times New Roman" w:cs="Times New Roman"/>
          <w:sz w:val="24"/>
          <w:szCs w:val="24"/>
          <w:shd w:val="clear" w:color="auto" w:fill="FFFFFF"/>
        </w:rPr>
        <w:t>24</w:t>
      </w:r>
      <w:r>
        <w:rPr>
          <w:rFonts w:ascii="Times New Roman" w:hAnsi="Times New Roman" w:cs="Times New Roman"/>
          <w:sz w:val="24"/>
          <w:szCs w:val="24"/>
          <w:shd w:val="clear" w:color="auto" w:fill="FFFFFF"/>
        </w:rPr>
        <w:t>: 101). Knapp asserted that the state could declare paper as money by fiat, or recognizing it as legal tender. Keynes followed suit in his definition of money</w:t>
      </w:r>
      <w:r w:rsidR="00631317">
        <w:rPr>
          <w:rFonts w:ascii="Times New Roman" w:hAnsi="Times New Roman" w:cs="Times New Roman"/>
          <w:sz w:val="24"/>
          <w:szCs w:val="24"/>
          <w:shd w:val="clear" w:color="auto" w:fill="FFFFFF"/>
        </w:rPr>
        <w:t xml:space="preserve"> </w:t>
      </w:r>
      <w:r w:rsidR="00631317" w:rsidRPr="00890316">
        <w:rPr>
          <w:rFonts w:ascii="Times New Roman" w:hAnsi="Times New Roman" w:cs="Times New Roman"/>
          <w:sz w:val="24"/>
          <w:szCs w:val="24"/>
          <w:shd w:val="clear" w:color="auto" w:fill="FFFFFF"/>
        </w:rPr>
        <w:t>– the state declares money as the unit of account, or measure of value</w:t>
      </w:r>
      <w:r w:rsidR="00F20507">
        <w:rPr>
          <w:rFonts w:ascii="Times New Roman" w:hAnsi="Times New Roman" w:cs="Times New Roman"/>
          <w:sz w:val="24"/>
          <w:szCs w:val="24"/>
          <w:shd w:val="clear" w:color="auto" w:fill="FFFFFF"/>
        </w:rPr>
        <w:t xml:space="preserve"> (1936)</w:t>
      </w:r>
      <w:r w:rsidR="00631317" w:rsidRPr="00890316">
        <w:rPr>
          <w:rFonts w:ascii="Times New Roman" w:hAnsi="Times New Roman" w:cs="Times New Roman"/>
          <w:sz w:val="24"/>
          <w:szCs w:val="24"/>
          <w:shd w:val="clear" w:color="auto" w:fill="FFFFFF"/>
        </w:rPr>
        <w:t>.</w:t>
      </w:r>
      <w:r w:rsidR="00631317">
        <w:rPr>
          <w:rFonts w:ascii="Times New Roman" w:hAnsi="Times New Roman" w:cs="Times New Roman"/>
          <w:sz w:val="24"/>
          <w:szCs w:val="24"/>
          <w:shd w:val="clear" w:color="auto" w:fill="FFFFFF"/>
        </w:rPr>
        <w:t xml:space="preserve"> </w:t>
      </w:r>
    </w:p>
    <w:p w:rsidR="00F77B49" w:rsidRDefault="00F40C46"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00F77B49" w:rsidRPr="00890316">
        <w:rPr>
          <w:rFonts w:ascii="Times New Roman" w:hAnsi="Times New Roman" w:cs="Times New Roman"/>
          <w:sz w:val="24"/>
          <w:szCs w:val="24"/>
          <w:shd w:val="clear" w:color="auto" w:fill="FFFFFF"/>
        </w:rPr>
        <w:t>uil</w:t>
      </w:r>
      <w:r>
        <w:rPr>
          <w:rFonts w:ascii="Times New Roman" w:hAnsi="Times New Roman" w:cs="Times New Roman"/>
          <w:sz w:val="24"/>
          <w:szCs w:val="24"/>
          <w:shd w:val="clear" w:color="auto" w:fill="FFFFFF"/>
        </w:rPr>
        <w:t>ding</w:t>
      </w:r>
      <w:r w:rsidR="00F77B49" w:rsidRPr="00890316">
        <w:rPr>
          <w:rFonts w:ascii="Times New Roman" w:hAnsi="Times New Roman" w:cs="Times New Roman"/>
          <w:sz w:val="24"/>
          <w:szCs w:val="24"/>
          <w:shd w:val="clear" w:color="auto" w:fill="FFFFFF"/>
        </w:rPr>
        <w:t xml:space="preserve"> on Keynes’ </w:t>
      </w:r>
      <w:r>
        <w:rPr>
          <w:rFonts w:ascii="Times New Roman" w:hAnsi="Times New Roman" w:cs="Times New Roman"/>
          <w:sz w:val="24"/>
          <w:szCs w:val="24"/>
          <w:shd w:val="clear" w:color="auto" w:fill="FFFFFF"/>
        </w:rPr>
        <w:t>statist</w:t>
      </w:r>
      <w:r w:rsidR="00F77B49" w:rsidRPr="00890316">
        <w:rPr>
          <w:rFonts w:ascii="Times New Roman" w:hAnsi="Times New Roman" w:cs="Times New Roman"/>
          <w:sz w:val="24"/>
          <w:szCs w:val="24"/>
          <w:shd w:val="clear" w:color="auto" w:fill="FFFFFF"/>
        </w:rPr>
        <w:t xml:space="preserve"> approach</w:t>
      </w:r>
      <w:r>
        <w:rPr>
          <w:rFonts w:ascii="Times New Roman" w:hAnsi="Times New Roman" w:cs="Times New Roman"/>
          <w:sz w:val="24"/>
          <w:szCs w:val="24"/>
          <w:shd w:val="clear" w:color="auto" w:fill="FFFFFF"/>
        </w:rPr>
        <w:t>, sociologist</w:t>
      </w:r>
      <w:r w:rsidR="00631317">
        <w:rPr>
          <w:rFonts w:ascii="Times New Roman" w:hAnsi="Times New Roman" w:cs="Times New Roman"/>
          <w:sz w:val="24"/>
          <w:szCs w:val="24"/>
          <w:shd w:val="clear" w:color="auto" w:fill="FFFFFF"/>
        </w:rPr>
        <w:t xml:space="preserve"> </w:t>
      </w:r>
      <w:r w:rsidR="00F77B49" w:rsidRPr="00890316">
        <w:rPr>
          <w:rFonts w:ascii="Times New Roman" w:hAnsi="Times New Roman" w:cs="Times New Roman"/>
          <w:sz w:val="24"/>
          <w:szCs w:val="24"/>
          <w:shd w:val="clear" w:color="auto" w:fill="FFFFFF"/>
        </w:rPr>
        <w:t>Ingham argue</w:t>
      </w:r>
      <w:r w:rsidR="00631317">
        <w:rPr>
          <w:rFonts w:ascii="Times New Roman" w:hAnsi="Times New Roman" w:cs="Times New Roman"/>
          <w:sz w:val="24"/>
          <w:szCs w:val="24"/>
          <w:shd w:val="clear" w:color="auto" w:fill="FFFFFF"/>
        </w:rPr>
        <w:t>d</w:t>
      </w:r>
      <w:r w:rsidR="00F77B49" w:rsidRPr="00890316">
        <w:rPr>
          <w:rFonts w:ascii="Times New Roman" w:hAnsi="Times New Roman" w:cs="Times New Roman"/>
          <w:sz w:val="24"/>
          <w:szCs w:val="24"/>
          <w:shd w:val="clear" w:color="auto" w:fill="FFFFFF"/>
        </w:rPr>
        <w:t xml:space="preserve"> that money “…is always an abstract claim or credit whose ‘moneyness’ is conferred by a money of account” (2004: 198). Ingham present</w:t>
      </w:r>
      <w:r w:rsidR="00631317">
        <w:rPr>
          <w:rFonts w:ascii="Times New Roman" w:hAnsi="Times New Roman" w:cs="Times New Roman"/>
          <w:sz w:val="24"/>
          <w:szCs w:val="24"/>
          <w:shd w:val="clear" w:color="auto" w:fill="FFFFFF"/>
        </w:rPr>
        <w:t>ed</w:t>
      </w:r>
      <w:r w:rsidR="00F77B49" w:rsidRPr="00890316">
        <w:rPr>
          <w:rFonts w:ascii="Times New Roman" w:hAnsi="Times New Roman" w:cs="Times New Roman"/>
          <w:sz w:val="24"/>
          <w:szCs w:val="24"/>
          <w:shd w:val="clear" w:color="auto" w:fill="FFFFFF"/>
        </w:rPr>
        <w:t xml:space="preserve"> a dual definition of money, first, money is a “claim or credit,” and “moneyness” arises from its ability to discharge debt. Second, only those promises to pay that are denominated in the official money-of-account are money. In so doing, Ingham established a hierarchy of money, “Private debt in its various forms (cheques, credit cards, promissory notes and so on) are converted into the most sought-after ‘promise to pay’ at the top of the hierarchy of promises” (2004: 134). Therefore, money can be conceptualized as a pyramid of credits with state money as the most valuable.</w:t>
      </w:r>
    </w:p>
    <w:p w:rsidR="00F40C46" w:rsidRDefault="00ED5C99"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From this perspective, while the state defined </w:t>
      </w:r>
      <w:r w:rsidR="00684B05">
        <w:rPr>
          <w:rFonts w:ascii="Times New Roman" w:hAnsi="Times New Roman" w:cs="Times New Roman"/>
          <w:sz w:val="24"/>
          <w:szCs w:val="24"/>
          <w:shd w:val="clear" w:color="auto" w:fill="FFFFFF"/>
        </w:rPr>
        <w:t>credit-</w:t>
      </w:r>
      <w:r>
        <w:rPr>
          <w:rFonts w:ascii="Times New Roman" w:hAnsi="Times New Roman" w:cs="Times New Roman"/>
          <w:sz w:val="24"/>
          <w:szCs w:val="24"/>
          <w:shd w:val="clear" w:color="auto" w:fill="FFFFFF"/>
        </w:rPr>
        <w:t>money</w:t>
      </w:r>
      <w:r w:rsidR="00684B05">
        <w:rPr>
          <w:rFonts w:ascii="Times New Roman" w:hAnsi="Times New Roman" w:cs="Times New Roman"/>
          <w:sz w:val="24"/>
          <w:szCs w:val="24"/>
          <w:shd w:val="clear" w:color="auto" w:fill="FFFFFF"/>
        </w:rPr>
        <w:t xml:space="preserve"> and it’s hierarchy</w:t>
      </w:r>
      <w:r>
        <w:rPr>
          <w:rFonts w:ascii="Times New Roman" w:hAnsi="Times New Roman" w:cs="Times New Roman"/>
          <w:sz w:val="24"/>
          <w:szCs w:val="24"/>
          <w:shd w:val="clear" w:color="auto" w:fill="FFFFFF"/>
        </w:rPr>
        <w:t xml:space="preserve">, the value of money was determined by political </w:t>
      </w:r>
      <w:r w:rsidR="00502AFF">
        <w:rPr>
          <w:rFonts w:ascii="Times New Roman" w:hAnsi="Times New Roman" w:cs="Times New Roman"/>
          <w:sz w:val="24"/>
          <w:szCs w:val="24"/>
          <w:shd w:val="clear" w:color="auto" w:fill="FFFFFF"/>
        </w:rPr>
        <w:t>conflicts</w:t>
      </w:r>
      <w:r>
        <w:rPr>
          <w:rFonts w:ascii="Times New Roman" w:hAnsi="Times New Roman" w:cs="Times New Roman"/>
          <w:sz w:val="24"/>
          <w:szCs w:val="24"/>
          <w:shd w:val="clear" w:color="auto" w:fill="FFFFFF"/>
        </w:rPr>
        <w:t xml:space="preserve"> between competing actors.</w:t>
      </w:r>
      <w:r w:rsidR="00502AFF">
        <w:rPr>
          <w:rFonts w:ascii="Times New Roman" w:hAnsi="Times New Roman" w:cs="Times New Roman"/>
          <w:sz w:val="24"/>
          <w:szCs w:val="24"/>
          <w:shd w:val="clear" w:color="auto" w:fill="FFFFFF"/>
        </w:rPr>
        <w:t xml:space="preserve"> </w:t>
      </w:r>
      <w:r w:rsidR="00502AFF" w:rsidRPr="00890316">
        <w:rPr>
          <w:rFonts w:ascii="Times New Roman" w:hAnsi="Times New Roman" w:cs="Times New Roman"/>
          <w:sz w:val="24"/>
          <w:szCs w:val="24"/>
          <w:shd w:val="clear" w:color="auto" w:fill="FFFFFF"/>
        </w:rPr>
        <w:t>Ingham</w:t>
      </w:r>
      <w:r w:rsidR="00502AFF">
        <w:rPr>
          <w:rFonts w:ascii="Times New Roman" w:hAnsi="Times New Roman" w:cs="Times New Roman"/>
          <w:sz w:val="24"/>
          <w:szCs w:val="24"/>
          <w:shd w:val="clear" w:color="auto" w:fill="FFFFFF"/>
        </w:rPr>
        <w:t xml:space="preserve">’s premise was the following historical assertion  </w:t>
      </w:r>
      <w:r w:rsidR="00502AFF" w:rsidRPr="00890316">
        <w:rPr>
          <w:rFonts w:ascii="Times New Roman" w:hAnsi="Times New Roman" w:cs="Times New Roman"/>
          <w:sz w:val="24"/>
          <w:szCs w:val="24"/>
          <w:shd w:val="clear" w:color="auto" w:fill="FFFFFF"/>
        </w:rPr>
        <w:t>–</w:t>
      </w:r>
    </w:p>
    <w:p w:rsidR="00CB36F2" w:rsidRDefault="00502AFF" w:rsidP="002677C2">
      <w:pPr>
        <w:spacing w:line="240" w:lineRule="auto"/>
        <w:ind w:left="720" w:right="720"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556D7">
        <w:rPr>
          <w:rFonts w:ascii="Times New Roman" w:hAnsi="Times New Roman" w:cs="Times New Roman"/>
          <w:sz w:val="24"/>
          <w:szCs w:val="24"/>
          <w:shd w:val="clear" w:color="auto" w:fill="FFFFFF"/>
        </w:rPr>
        <w:t>The most structurally fundamental struggle in capitalism is not that between productive capital and labor, but rather between debtor (producers and consumers of goods) and creditor (producers and controllers of money) classes and centers on two rates of interest – the long and the short</w:t>
      </w:r>
      <w:r w:rsidR="00CB36F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(2004: </w:t>
      </w:r>
      <w:r w:rsidR="00CB36F2">
        <w:rPr>
          <w:rFonts w:ascii="Times New Roman" w:hAnsi="Times New Roman" w:cs="Times New Roman"/>
          <w:sz w:val="24"/>
          <w:szCs w:val="24"/>
          <w:shd w:val="clear" w:color="auto" w:fill="FFFFFF"/>
        </w:rPr>
        <w:t>15</w:t>
      </w:r>
      <w:r w:rsidR="004556D7">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w:t>
      </w:r>
    </w:p>
    <w:p w:rsidR="00B06DC1" w:rsidRDefault="004556D7"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Ingham applied this frame to 1970s stagflation in the US and Europe, and he identified three primary political actors </w:t>
      </w:r>
      <w:r w:rsidRPr="0089031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big business, big labor, rentiers. Prior to the 1980s, big business marked up prices and big labor made wage demands, leading to cost-push crisis inflation in the 1970s (Ingham 2004: 150). In turn, the rentier class undermined big business and big labor by leading globalization projects to intensify global competition, implement deregulated and flexible labor markets, and weaken trade unions</w:t>
      </w:r>
      <w:r w:rsidR="006B278A">
        <w:rPr>
          <w:rFonts w:ascii="Times New Roman" w:hAnsi="Times New Roman" w:cs="Times New Roman"/>
          <w:sz w:val="24"/>
          <w:szCs w:val="24"/>
          <w:shd w:val="clear" w:color="auto" w:fill="FFFFFF"/>
        </w:rPr>
        <w:t xml:space="preserve">. </w:t>
      </w:r>
    </w:p>
    <w:p w:rsidR="00AD69F6" w:rsidRDefault="006B278A"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“revenge of the rentier” broke the inflationary conditions to the dollar. Ingham asserted that m</w:t>
      </w:r>
      <w:r w:rsidR="00CB36F2">
        <w:rPr>
          <w:rFonts w:ascii="Times New Roman" w:hAnsi="Times New Roman" w:cs="Times New Roman"/>
          <w:sz w:val="24"/>
          <w:szCs w:val="24"/>
          <w:shd w:val="clear" w:color="auto" w:fill="FFFFFF"/>
        </w:rPr>
        <w:t xml:space="preserve">onetary policy </w:t>
      </w:r>
      <w:r>
        <w:rPr>
          <w:rFonts w:ascii="Times New Roman" w:hAnsi="Times New Roman" w:cs="Times New Roman"/>
          <w:sz w:val="24"/>
          <w:szCs w:val="24"/>
          <w:shd w:val="clear" w:color="auto" w:fill="FFFFFF"/>
        </w:rPr>
        <w:t xml:space="preserve">serves to </w:t>
      </w:r>
      <w:r w:rsidR="00CB36F2">
        <w:rPr>
          <w:rFonts w:ascii="Times New Roman" w:hAnsi="Times New Roman" w:cs="Times New Roman"/>
          <w:sz w:val="24"/>
          <w:szCs w:val="24"/>
          <w:shd w:val="clear" w:color="auto" w:fill="FFFFFF"/>
        </w:rPr>
        <w:t>reinforce this social and political balance of power</w:t>
      </w:r>
      <w:r>
        <w:rPr>
          <w:rFonts w:ascii="Times New Roman" w:hAnsi="Times New Roman" w:cs="Times New Roman"/>
          <w:sz w:val="24"/>
          <w:szCs w:val="24"/>
          <w:shd w:val="clear" w:color="auto" w:fill="FFFFFF"/>
        </w:rPr>
        <w:t xml:space="preserve"> (2004: </w:t>
      </w:r>
      <w:r w:rsidR="00CB36F2">
        <w:rPr>
          <w:rFonts w:ascii="Times New Roman" w:hAnsi="Times New Roman" w:cs="Times New Roman"/>
          <w:sz w:val="24"/>
          <w:szCs w:val="24"/>
          <w:shd w:val="clear" w:color="auto" w:fill="FFFFFF"/>
        </w:rPr>
        <w:t xml:space="preserve">150 </w:t>
      </w:r>
      <w:r>
        <w:rPr>
          <w:rFonts w:ascii="Times New Roman" w:hAnsi="Times New Roman" w:cs="Times New Roman"/>
          <w:sz w:val="24"/>
          <w:szCs w:val="24"/>
          <w:shd w:val="clear" w:color="auto" w:fill="FFFFFF"/>
        </w:rPr>
        <w:t>). These were necessary</w:t>
      </w:r>
      <w:r w:rsidRPr="006B278A">
        <w:rPr>
          <w:rFonts w:ascii="Times New Roman" w:hAnsi="Times New Roman" w:cs="Times New Roman"/>
          <w:i/>
          <w:sz w:val="24"/>
          <w:szCs w:val="24"/>
          <w:shd w:val="clear" w:color="auto" w:fill="FFFFFF"/>
        </w:rPr>
        <w:t xml:space="preserve"> a priori</w:t>
      </w:r>
      <w:r>
        <w:rPr>
          <w:rFonts w:ascii="Times New Roman" w:hAnsi="Times New Roman" w:cs="Times New Roman"/>
          <w:sz w:val="24"/>
          <w:szCs w:val="24"/>
          <w:shd w:val="clear" w:color="auto" w:fill="FFFFFF"/>
        </w:rPr>
        <w:t xml:space="preserve"> conditions for the globalization of finance and </w:t>
      </w:r>
      <w:r>
        <w:rPr>
          <w:rFonts w:ascii="Times New Roman" w:hAnsi="Times New Roman" w:cs="Times New Roman"/>
          <w:sz w:val="24"/>
          <w:szCs w:val="24"/>
          <w:shd w:val="clear" w:color="auto" w:fill="FFFFFF"/>
        </w:rPr>
        <w:lastRenderedPageBreak/>
        <w:t>financialization, which was</w:t>
      </w:r>
      <w:r w:rsidR="00AD69F6">
        <w:rPr>
          <w:rFonts w:ascii="Times New Roman" w:hAnsi="Times New Roman" w:cs="Times New Roman"/>
          <w:sz w:val="24"/>
          <w:szCs w:val="24"/>
          <w:shd w:val="clear" w:color="auto" w:fill="FFFFFF"/>
        </w:rPr>
        <w:t xml:space="preserve"> hastened by </w:t>
      </w:r>
      <w:r>
        <w:rPr>
          <w:rFonts w:ascii="Times New Roman" w:hAnsi="Times New Roman" w:cs="Times New Roman"/>
          <w:sz w:val="24"/>
          <w:szCs w:val="24"/>
          <w:shd w:val="clear" w:color="auto" w:fill="FFFFFF"/>
        </w:rPr>
        <w:t xml:space="preserve">the </w:t>
      </w:r>
      <w:r w:rsidR="00AD69F6">
        <w:rPr>
          <w:rFonts w:ascii="Times New Roman" w:hAnsi="Times New Roman" w:cs="Times New Roman"/>
          <w:sz w:val="24"/>
          <w:szCs w:val="24"/>
          <w:shd w:val="clear" w:color="auto" w:fill="FFFFFF"/>
        </w:rPr>
        <w:t>disintegration of Bretton Woods</w:t>
      </w:r>
      <w:r>
        <w:rPr>
          <w:rFonts w:ascii="Times New Roman" w:hAnsi="Times New Roman" w:cs="Times New Roman"/>
          <w:sz w:val="24"/>
          <w:szCs w:val="24"/>
          <w:shd w:val="clear" w:color="auto" w:fill="FFFFFF"/>
        </w:rPr>
        <w:t xml:space="preserve">. </w:t>
      </w:r>
      <w:r w:rsidR="00AD69F6">
        <w:rPr>
          <w:rFonts w:ascii="Times New Roman" w:hAnsi="Times New Roman" w:cs="Times New Roman"/>
          <w:sz w:val="24"/>
          <w:szCs w:val="24"/>
          <w:shd w:val="clear" w:color="auto" w:fill="FFFFFF"/>
        </w:rPr>
        <w:t xml:space="preserve">From this perspective, globalization is dependent upon low-inflationary conditions, which must be actively sustained by political power of creditors over debtors. </w:t>
      </w:r>
    </w:p>
    <w:p w:rsidR="00F77B49" w:rsidRPr="00890316" w:rsidRDefault="00F77B49" w:rsidP="002677C2">
      <w:pPr>
        <w:spacing w:line="240" w:lineRule="auto"/>
        <w:contextualSpacing/>
        <w:rPr>
          <w:rFonts w:ascii="Times New Roman" w:hAnsi="Times New Roman" w:cs="Times New Roman"/>
          <w:sz w:val="24"/>
          <w:szCs w:val="24"/>
          <w:shd w:val="clear" w:color="auto" w:fill="FFFFFF"/>
        </w:rPr>
      </w:pPr>
    </w:p>
    <w:p w:rsidR="00F77B49" w:rsidRPr="00890316" w:rsidRDefault="00A37340" w:rsidP="002677C2">
      <w:pPr>
        <w:spacing w:line="240" w:lineRule="auto"/>
        <w:contextualSpacing/>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Marxian</w:t>
      </w:r>
    </w:p>
    <w:p w:rsidR="00B06DC1" w:rsidRDefault="00F77B49" w:rsidP="002677C2">
      <w:pPr>
        <w:spacing w:line="240" w:lineRule="auto"/>
        <w:ind w:firstLine="720"/>
        <w:contextualSpacing/>
        <w:rPr>
          <w:rFonts w:ascii="Times New Roman" w:hAnsi="Times New Roman" w:cs="Times New Roman"/>
          <w:sz w:val="24"/>
          <w:szCs w:val="24"/>
          <w:shd w:val="clear" w:color="auto" w:fill="FFFFFF"/>
        </w:rPr>
      </w:pPr>
      <w:r w:rsidRPr="00890316">
        <w:rPr>
          <w:rFonts w:ascii="Times New Roman" w:hAnsi="Times New Roman" w:cs="Times New Roman"/>
          <w:sz w:val="24"/>
          <w:szCs w:val="24"/>
          <w:shd w:val="clear" w:color="auto" w:fill="FFFFFF"/>
        </w:rPr>
        <w:t xml:space="preserve">A </w:t>
      </w:r>
      <w:r w:rsidR="00B06DC1">
        <w:rPr>
          <w:rFonts w:ascii="Times New Roman" w:hAnsi="Times New Roman" w:cs="Times New Roman"/>
          <w:sz w:val="24"/>
          <w:szCs w:val="24"/>
          <w:shd w:val="clear" w:color="auto" w:fill="FFFFFF"/>
        </w:rPr>
        <w:t>second approach</w:t>
      </w:r>
      <w:r w:rsidRPr="00890316">
        <w:rPr>
          <w:rFonts w:ascii="Times New Roman" w:hAnsi="Times New Roman" w:cs="Times New Roman"/>
          <w:sz w:val="24"/>
          <w:szCs w:val="24"/>
          <w:shd w:val="clear" w:color="auto" w:fill="FFFFFF"/>
        </w:rPr>
        <w:t xml:space="preserve"> builds on Karl Marx’s insight that money has a monopoly on the ability to buy. </w:t>
      </w:r>
      <w:r w:rsidRPr="00890316">
        <w:rPr>
          <w:rFonts w:ascii="Times New Roman" w:hAnsi="Times New Roman" w:cs="Times New Roman"/>
          <w:color w:val="000000"/>
          <w:sz w:val="24"/>
          <w:szCs w:val="24"/>
        </w:rPr>
        <w:t>For Marx, the primary function of money is to make universal quantitative measures of qualitatively different commodities. This is the basis for money’s ability to buy</w:t>
      </w:r>
      <w:r w:rsidR="00B06DC1">
        <w:rPr>
          <w:rFonts w:ascii="Times New Roman" w:hAnsi="Times New Roman" w:cs="Times New Roman"/>
          <w:color w:val="000000"/>
          <w:sz w:val="24"/>
          <w:szCs w:val="24"/>
        </w:rPr>
        <w:t>.</w:t>
      </w:r>
      <w:r w:rsidRPr="00890316">
        <w:rPr>
          <w:rFonts w:ascii="Times New Roman" w:hAnsi="Times New Roman" w:cs="Times New Roman"/>
          <w:color w:val="000000"/>
          <w:sz w:val="24"/>
          <w:szCs w:val="24"/>
        </w:rPr>
        <w:t xml:space="preserve"> Building on the work of Uno (1980) and Japanese political economy, </w:t>
      </w:r>
      <w:r w:rsidR="00B06DC1">
        <w:rPr>
          <w:rFonts w:ascii="Times New Roman" w:hAnsi="Times New Roman" w:cs="Times New Roman"/>
          <w:sz w:val="24"/>
          <w:szCs w:val="24"/>
          <w:shd w:val="clear" w:color="auto" w:fill="FFFFFF"/>
        </w:rPr>
        <w:t>political economist</w:t>
      </w:r>
      <w:r w:rsidRPr="00890316">
        <w:rPr>
          <w:rFonts w:ascii="Times New Roman" w:hAnsi="Times New Roman" w:cs="Times New Roman"/>
          <w:sz w:val="24"/>
          <w:szCs w:val="24"/>
          <w:shd w:val="clear" w:color="auto" w:fill="FFFFFF"/>
        </w:rPr>
        <w:t xml:space="preserve"> </w:t>
      </w:r>
      <w:proofErr w:type="spellStart"/>
      <w:r w:rsidRPr="00890316">
        <w:rPr>
          <w:rFonts w:ascii="Times New Roman" w:hAnsi="Times New Roman" w:cs="Times New Roman"/>
          <w:sz w:val="24"/>
          <w:szCs w:val="24"/>
          <w:shd w:val="clear" w:color="auto" w:fill="FFFFFF"/>
        </w:rPr>
        <w:t>Lapavitsas</w:t>
      </w:r>
      <w:proofErr w:type="spellEnd"/>
      <w:r w:rsidRPr="00890316">
        <w:rPr>
          <w:rFonts w:ascii="Times New Roman" w:hAnsi="Times New Roman" w:cs="Times New Roman"/>
          <w:sz w:val="24"/>
          <w:szCs w:val="24"/>
          <w:shd w:val="clear" w:color="auto" w:fill="FFFFFF"/>
        </w:rPr>
        <w:t xml:space="preserve"> mapped the logical emergence of money (2003).</w:t>
      </w:r>
    </w:p>
    <w:p w:rsidR="00F77B49" w:rsidRDefault="00F77B49" w:rsidP="002677C2">
      <w:pPr>
        <w:spacing w:line="240" w:lineRule="auto"/>
        <w:ind w:firstLine="720"/>
        <w:contextualSpacing/>
        <w:rPr>
          <w:rFonts w:ascii="Times New Roman" w:hAnsi="Times New Roman" w:cs="Times New Roman"/>
          <w:sz w:val="24"/>
          <w:szCs w:val="24"/>
          <w:shd w:val="clear" w:color="auto" w:fill="FFFFFF"/>
        </w:rPr>
      </w:pPr>
      <w:proofErr w:type="spellStart"/>
      <w:r w:rsidRPr="00890316">
        <w:rPr>
          <w:rFonts w:ascii="Times New Roman" w:hAnsi="Times New Roman" w:cs="Times New Roman"/>
          <w:sz w:val="24"/>
          <w:szCs w:val="24"/>
          <w:shd w:val="clear" w:color="auto" w:fill="FFFFFF"/>
        </w:rPr>
        <w:t>Lapavitsas</w:t>
      </w:r>
      <w:proofErr w:type="spellEnd"/>
      <w:r w:rsidRPr="00890316">
        <w:rPr>
          <w:rFonts w:ascii="Times New Roman" w:hAnsi="Times New Roman" w:cs="Times New Roman"/>
          <w:sz w:val="24"/>
          <w:szCs w:val="24"/>
          <w:shd w:val="clear" w:color="auto" w:fill="FFFFFF"/>
        </w:rPr>
        <w:t xml:space="preserve"> </w:t>
      </w:r>
      <w:r w:rsidR="00B06DC1">
        <w:rPr>
          <w:rFonts w:ascii="Times New Roman" w:hAnsi="Times New Roman" w:cs="Times New Roman"/>
          <w:sz w:val="24"/>
          <w:szCs w:val="24"/>
          <w:shd w:val="clear" w:color="auto" w:fill="FFFFFF"/>
        </w:rPr>
        <w:t>inductively reasoned t</w:t>
      </w:r>
      <w:r w:rsidRPr="00890316">
        <w:rPr>
          <w:rFonts w:ascii="Times New Roman" w:hAnsi="Times New Roman" w:cs="Times New Roman"/>
          <w:sz w:val="24"/>
          <w:szCs w:val="24"/>
          <w:shd w:val="clear" w:color="auto" w:fill="FFFFFF"/>
        </w:rPr>
        <w:t xml:space="preserve">hat </w:t>
      </w:r>
      <w:r w:rsidR="00B06DC1">
        <w:rPr>
          <w:rFonts w:ascii="Times New Roman" w:hAnsi="Times New Roman" w:cs="Times New Roman"/>
          <w:sz w:val="24"/>
          <w:szCs w:val="24"/>
          <w:shd w:val="clear" w:color="auto" w:fill="FFFFFF"/>
        </w:rPr>
        <w:t xml:space="preserve">when </w:t>
      </w:r>
      <w:r w:rsidRPr="00890316">
        <w:rPr>
          <w:rFonts w:ascii="Times New Roman" w:hAnsi="Times New Roman" w:cs="Times New Roman"/>
          <w:sz w:val="24"/>
          <w:szCs w:val="24"/>
          <w:shd w:val="clear" w:color="auto" w:fill="FFFFFF"/>
        </w:rPr>
        <w:t xml:space="preserve">commodity owners meet in a marketplace, </w:t>
      </w:r>
      <w:r w:rsidR="00B06DC1">
        <w:rPr>
          <w:rFonts w:ascii="Times New Roman" w:hAnsi="Times New Roman" w:cs="Times New Roman"/>
          <w:sz w:val="24"/>
          <w:szCs w:val="24"/>
          <w:shd w:val="clear" w:color="auto" w:fill="FFFFFF"/>
        </w:rPr>
        <w:t>they</w:t>
      </w:r>
      <w:r w:rsidRPr="00890316">
        <w:rPr>
          <w:rFonts w:ascii="Times New Roman" w:hAnsi="Times New Roman" w:cs="Times New Roman"/>
          <w:sz w:val="24"/>
          <w:szCs w:val="24"/>
          <w:shd w:val="clear" w:color="auto" w:fill="FFFFFF"/>
        </w:rPr>
        <w:t xml:space="preserve"> express both exchange value and the ability to buy. As multiple commodity owners trade with frequency, exchange values become normalized while the ability to buy is concentrated in a single commodity (2003: 66). </w:t>
      </w:r>
      <w:proofErr w:type="spellStart"/>
      <w:r w:rsidRPr="00890316">
        <w:rPr>
          <w:rFonts w:ascii="Times New Roman" w:hAnsi="Times New Roman" w:cs="Times New Roman"/>
          <w:sz w:val="24"/>
          <w:szCs w:val="24"/>
          <w:shd w:val="clear" w:color="auto" w:fill="FFFFFF"/>
        </w:rPr>
        <w:t>Lapavitsas</w:t>
      </w:r>
      <w:proofErr w:type="spellEnd"/>
      <w:r w:rsidRPr="00890316">
        <w:rPr>
          <w:rFonts w:ascii="Times New Roman" w:hAnsi="Times New Roman" w:cs="Times New Roman"/>
          <w:sz w:val="24"/>
          <w:szCs w:val="24"/>
          <w:shd w:val="clear" w:color="auto" w:fill="FFFFFF"/>
        </w:rPr>
        <w:t xml:space="preserve"> argues that “moneyness” becomes concentrated in one commodity “…because commodity owners regularly and frequently meet each other as ‘foreigners’, thus requiring a monopolist of the ability to buy” (2003: 66). However, in these buyer/seller relations, there is a fundamental power asymmetry. All commodity owners seek sale for one single commodity – money – because money is the only commodity that can buy. Therefore, money embodies economic and social power, because it is the only commodity that can buy others.</w:t>
      </w:r>
    </w:p>
    <w:p w:rsidR="000014D7" w:rsidRDefault="00A37340" w:rsidP="002677C2">
      <w:pPr>
        <w:spacing w:line="240" w:lineRule="auto"/>
        <w:ind w:firstLine="720"/>
        <w:contextualSpacing/>
        <w:rPr>
          <w:rFonts w:ascii="Times New Roman" w:hAnsi="Times New Roman" w:cs="Times New Roman"/>
          <w:sz w:val="24"/>
          <w:szCs w:val="24"/>
          <w:shd w:val="clear" w:color="auto" w:fill="FFFFFF"/>
        </w:rPr>
      </w:pPr>
      <w:proofErr w:type="spellStart"/>
      <w:r w:rsidRPr="00890316">
        <w:rPr>
          <w:rFonts w:ascii="Times New Roman" w:hAnsi="Times New Roman" w:cs="Times New Roman"/>
          <w:sz w:val="24"/>
          <w:szCs w:val="24"/>
          <w:shd w:val="clear" w:color="auto" w:fill="FFFFFF"/>
        </w:rPr>
        <w:t>Lapavitsas</w:t>
      </w:r>
      <w:proofErr w:type="spellEnd"/>
      <w:r w:rsidR="00FB53AD">
        <w:rPr>
          <w:rFonts w:ascii="Times New Roman" w:hAnsi="Times New Roman" w:cs="Times New Roman"/>
          <w:sz w:val="24"/>
          <w:szCs w:val="24"/>
          <w:shd w:val="clear" w:color="auto" w:fill="FFFFFF"/>
        </w:rPr>
        <w:t xml:space="preserve"> (</w:t>
      </w:r>
      <w:r w:rsidR="000014D7">
        <w:rPr>
          <w:rFonts w:ascii="Times New Roman" w:hAnsi="Times New Roman" w:cs="Times New Roman"/>
          <w:sz w:val="24"/>
          <w:szCs w:val="24"/>
          <w:shd w:val="clear" w:color="auto" w:fill="FFFFFF"/>
        </w:rPr>
        <w:t xml:space="preserve">2006; </w:t>
      </w:r>
      <w:r w:rsidR="00FB53AD">
        <w:rPr>
          <w:rFonts w:ascii="Times New Roman" w:hAnsi="Times New Roman" w:cs="Times New Roman"/>
          <w:sz w:val="24"/>
          <w:szCs w:val="24"/>
          <w:shd w:val="clear" w:color="auto" w:fill="FFFFFF"/>
        </w:rPr>
        <w:t xml:space="preserve">2016) and </w:t>
      </w:r>
      <w:r w:rsidR="00B06DC1">
        <w:rPr>
          <w:rFonts w:ascii="Times New Roman" w:hAnsi="Times New Roman" w:cs="Times New Roman"/>
          <w:sz w:val="24"/>
          <w:szCs w:val="24"/>
          <w:shd w:val="clear" w:color="auto" w:fill="FFFFFF"/>
        </w:rPr>
        <w:t xml:space="preserve">political economist </w:t>
      </w:r>
      <w:r w:rsidR="00FB53AD" w:rsidRPr="00FB53AD">
        <w:rPr>
          <w:rFonts w:ascii="Times New Roman" w:hAnsi="Times New Roman" w:cs="Times New Roman"/>
          <w:sz w:val="24"/>
          <w:szCs w:val="24"/>
          <w:shd w:val="clear" w:color="auto" w:fill="FFFFFF"/>
        </w:rPr>
        <w:t>Vasudevan</w:t>
      </w:r>
      <w:r>
        <w:rPr>
          <w:rFonts w:ascii="Times New Roman" w:hAnsi="Times New Roman" w:cs="Times New Roman"/>
          <w:sz w:val="24"/>
          <w:szCs w:val="24"/>
          <w:shd w:val="clear" w:color="auto" w:fill="FFFFFF"/>
        </w:rPr>
        <w:t xml:space="preserve"> </w:t>
      </w:r>
      <w:r w:rsidR="00FB53AD">
        <w:rPr>
          <w:rFonts w:ascii="Times New Roman" w:hAnsi="Times New Roman" w:cs="Times New Roman"/>
          <w:sz w:val="24"/>
          <w:szCs w:val="24"/>
          <w:shd w:val="clear" w:color="auto" w:fill="FFFFFF"/>
        </w:rPr>
        <w:t>(2008</w:t>
      </w:r>
      <w:r w:rsidR="003C09D8">
        <w:rPr>
          <w:rFonts w:ascii="Times New Roman" w:hAnsi="Times New Roman" w:cs="Times New Roman"/>
          <w:sz w:val="24"/>
          <w:szCs w:val="24"/>
          <w:shd w:val="clear" w:color="auto" w:fill="FFFFFF"/>
        </w:rPr>
        <w:t>; 2009</w:t>
      </w:r>
      <w:r w:rsidR="00FB53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applied this understanding of money to the dollar standard by using Marx’s concept of world money as a point of departure. </w:t>
      </w:r>
      <w:r w:rsidR="00FB53AD">
        <w:rPr>
          <w:rFonts w:ascii="Times New Roman" w:hAnsi="Times New Roman" w:cs="Times New Roman"/>
          <w:sz w:val="24"/>
          <w:szCs w:val="24"/>
          <w:shd w:val="clear" w:color="auto" w:fill="FFFFFF"/>
        </w:rPr>
        <w:t>From Marx’s understanding of the social relations of the money-commodity, he began to advance a theory of “world money” –</w:t>
      </w:r>
      <w:r w:rsidR="00B06DC1">
        <w:rPr>
          <w:rFonts w:ascii="Times New Roman" w:hAnsi="Times New Roman" w:cs="Times New Roman"/>
          <w:sz w:val="24"/>
          <w:szCs w:val="24"/>
          <w:shd w:val="clear" w:color="auto" w:fill="FFFFFF"/>
        </w:rPr>
        <w:t xml:space="preserve"> </w:t>
      </w:r>
      <w:r w:rsidR="00BC20E8">
        <w:rPr>
          <w:rFonts w:ascii="Times New Roman" w:hAnsi="Times New Roman" w:cs="Times New Roman"/>
          <w:sz w:val="24"/>
          <w:szCs w:val="24"/>
          <w:shd w:val="clear" w:color="auto" w:fill="FFFFFF"/>
        </w:rPr>
        <w:t xml:space="preserve">“…the means of payment in settling international balances” (cited in </w:t>
      </w:r>
      <w:proofErr w:type="spellStart"/>
      <w:r w:rsidR="00BC20E8" w:rsidRPr="00890316">
        <w:rPr>
          <w:rFonts w:ascii="Times New Roman" w:hAnsi="Times New Roman" w:cs="Times New Roman"/>
          <w:sz w:val="24"/>
          <w:szCs w:val="24"/>
          <w:shd w:val="clear" w:color="auto" w:fill="FFFFFF"/>
        </w:rPr>
        <w:t>Lapavitsas</w:t>
      </w:r>
      <w:proofErr w:type="spellEnd"/>
      <w:r w:rsidR="00BC20E8">
        <w:rPr>
          <w:rFonts w:ascii="Times New Roman" w:hAnsi="Times New Roman" w:cs="Times New Roman"/>
          <w:sz w:val="24"/>
          <w:szCs w:val="24"/>
          <w:shd w:val="clear" w:color="auto" w:fill="FFFFFF"/>
        </w:rPr>
        <w:t xml:space="preserve"> 2016: 297). </w:t>
      </w:r>
      <w:proofErr w:type="spellStart"/>
      <w:r w:rsidR="00BC20E8" w:rsidRPr="00890316">
        <w:rPr>
          <w:rFonts w:ascii="Times New Roman" w:hAnsi="Times New Roman" w:cs="Times New Roman"/>
          <w:sz w:val="24"/>
          <w:szCs w:val="24"/>
          <w:shd w:val="clear" w:color="auto" w:fill="FFFFFF"/>
        </w:rPr>
        <w:t>Lapavitsas</w:t>
      </w:r>
      <w:proofErr w:type="spellEnd"/>
      <w:r w:rsidR="00BC20E8">
        <w:rPr>
          <w:rFonts w:ascii="Times New Roman" w:hAnsi="Times New Roman" w:cs="Times New Roman"/>
          <w:sz w:val="24"/>
          <w:szCs w:val="24"/>
          <w:shd w:val="clear" w:color="auto" w:fill="FFFFFF"/>
        </w:rPr>
        <w:t xml:space="preserve"> infused Marx’s definition of world money with</w:t>
      </w:r>
      <w:r w:rsidR="0043295F">
        <w:rPr>
          <w:rFonts w:ascii="Times New Roman" w:hAnsi="Times New Roman" w:cs="Times New Roman"/>
          <w:sz w:val="24"/>
          <w:szCs w:val="24"/>
          <w:shd w:val="clear" w:color="auto" w:fill="FFFFFF"/>
        </w:rPr>
        <w:t xml:space="preserve"> </w:t>
      </w:r>
      <w:r w:rsidR="00BC20E8">
        <w:rPr>
          <w:rFonts w:ascii="Times New Roman" w:hAnsi="Times New Roman" w:cs="Times New Roman"/>
          <w:sz w:val="24"/>
          <w:szCs w:val="24"/>
          <w:shd w:val="clear" w:color="auto" w:fill="FFFFFF"/>
        </w:rPr>
        <w:t xml:space="preserve">mercantilist </w:t>
      </w:r>
      <w:r w:rsidR="0043295F">
        <w:rPr>
          <w:rFonts w:ascii="Times New Roman" w:hAnsi="Times New Roman" w:cs="Times New Roman"/>
          <w:sz w:val="24"/>
          <w:szCs w:val="24"/>
          <w:shd w:val="clear" w:color="auto" w:fill="FFFFFF"/>
        </w:rPr>
        <w:t>functions, “</w:t>
      </w:r>
      <w:r w:rsidR="00A2257B">
        <w:rPr>
          <w:rFonts w:ascii="Times New Roman" w:hAnsi="Times New Roman" w:cs="Times New Roman"/>
          <w:sz w:val="24"/>
          <w:szCs w:val="24"/>
          <w:shd w:val="clear" w:color="auto" w:fill="FFFFFF"/>
        </w:rPr>
        <w:t xml:space="preserve">World money has become even more clearly as instrument of state power, particularly of </w:t>
      </w:r>
      <w:r w:rsidR="0043295F">
        <w:rPr>
          <w:rFonts w:ascii="Times New Roman" w:hAnsi="Times New Roman" w:cs="Times New Roman"/>
          <w:sz w:val="24"/>
          <w:szCs w:val="24"/>
          <w:shd w:val="clear" w:color="auto" w:fill="FFFFFF"/>
        </w:rPr>
        <w:t>hierarchical</w:t>
      </w:r>
      <w:r w:rsidR="00A2257B">
        <w:rPr>
          <w:rFonts w:ascii="Times New Roman" w:hAnsi="Times New Roman" w:cs="Times New Roman"/>
          <w:sz w:val="24"/>
          <w:szCs w:val="24"/>
          <w:shd w:val="clear" w:color="auto" w:fill="FFFFFF"/>
        </w:rPr>
        <w:t>, imperial power in the world market</w:t>
      </w:r>
      <w:r w:rsidR="0043295F">
        <w:rPr>
          <w:rFonts w:ascii="Times New Roman" w:hAnsi="Times New Roman" w:cs="Times New Roman"/>
          <w:sz w:val="24"/>
          <w:szCs w:val="24"/>
          <w:shd w:val="clear" w:color="auto" w:fill="FFFFFF"/>
        </w:rPr>
        <w:t>” (</w:t>
      </w:r>
      <w:proofErr w:type="spellStart"/>
      <w:r w:rsidR="0043295F" w:rsidRPr="00890316">
        <w:rPr>
          <w:rFonts w:ascii="Times New Roman" w:hAnsi="Times New Roman" w:cs="Times New Roman"/>
          <w:sz w:val="24"/>
          <w:szCs w:val="24"/>
          <w:shd w:val="clear" w:color="auto" w:fill="FFFFFF"/>
        </w:rPr>
        <w:t>Lapavitsas</w:t>
      </w:r>
      <w:proofErr w:type="spellEnd"/>
      <w:r w:rsidR="0043295F">
        <w:rPr>
          <w:rFonts w:ascii="Times New Roman" w:hAnsi="Times New Roman" w:cs="Times New Roman"/>
          <w:sz w:val="24"/>
          <w:szCs w:val="24"/>
          <w:shd w:val="clear" w:color="auto" w:fill="FFFFFF"/>
        </w:rPr>
        <w:t xml:space="preserve"> 2016: 300). </w:t>
      </w:r>
      <w:r w:rsidR="000014D7">
        <w:rPr>
          <w:rFonts w:ascii="Times New Roman" w:hAnsi="Times New Roman" w:cs="Times New Roman"/>
          <w:sz w:val="24"/>
          <w:szCs w:val="24"/>
          <w:shd w:val="clear" w:color="auto" w:fill="FFFFFF"/>
        </w:rPr>
        <w:t>The dollar standard rests on economic and non-economic power asymmetries vis-à-vis the rest of the world. Economically – the market share and power of US multinational corporations and financial markets; non-economically –</w:t>
      </w:r>
      <w:r w:rsidR="00221D2B" w:rsidRPr="00221D2B">
        <w:rPr>
          <w:rFonts w:ascii="Times New Roman" w:hAnsi="Times New Roman" w:cs="Times New Roman"/>
          <w:sz w:val="24"/>
          <w:szCs w:val="24"/>
          <w:shd w:val="clear" w:color="auto" w:fill="FFFFFF"/>
        </w:rPr>
        <w:t xml:space="preserve">the political and military hegemony of the </w:t>
      </w:r>
      <w:r w:rsidR="000014D7">
        <w:rPr>
          <w:rFonts w:ascii="Times New Roman" w:hAnsi="Times New Roman" w:cs="Times New Roman"/>
          <w:sz w:val="24"/>
          <w:szCs w:val="24"/>
          <w:shd w:val="clear" w:color="auto" w:fill="FFFFFF"/>
        </w:rPr>
        <w:t>US</w:t>
      </w:r>
      <w:r w:rsidR="00B83C3D">
        <w:rPr>
          <w:rFonts w:ascii="Times New Roman" w:hAnsi="Times New Roman" w:cs="Times New Roman"/>
          <w:sz w:val="24"/>
          <w:szCs w:val="24"/>
          <w:shd w:val="clear" w:color="auto" w:fill="FFFFFF"/>
        </w:rPr>
        <w:t xml:space="preserve"> (</w:t>
      </w:r>
      <w:proofErr w:type="spellStart"/>
      <w:r w:rsidR="00B83C3D" w:rsidRPr="00890316">
        <w:rPr>
          <w:rFonts w:ascii="Times New Roman" w:hAnsi="Times New Roman" w:cs="Times New Roman"/>
          <w:sz w:val="24"/>
          <w:szCs w:val="24"/>
          <w:shd w:val="clear" w:color="auto" w:fill="FFFFFF"/>
        </w:rPr>
        <w:t>Lapavitsas</w:t>
      </w:r>
      <w:proofErr w:type="spellEnd"/>
      <w:r w:rsidR="00B83C3D">
        <w:rPr>
          <w:rFonts w:ascii="Times New Roman" w:hAnsi="Times New Roman" w:cs="Times New Roman"/>
          <w:sz w:val="24"/>
          <w:szCs w:val="24"/>
          <w:shd w:val="clear" w:color="auto" w:fill="FFFFFF"/>
        </w:rPr>
        <w:t xml:space="preserve"> 2006: 137)</w:t>
      </w:r>
      <w:r w:rsidR="009A688E">
        <w:rPr>
          <w:rFonts w:ascii="Times New Roman" w:hAnsi="Times New Roman" w:cs="Times New Roman"/>
          <w:sz w:val="24"/>
          <w:szCs w:val="24"/>
          <w:shd w:val="clear" w:color="auto" w:fill="FFFFFF"/>
        </w:rPr>
        <w:t>.</w:t>
      </w:r>
      <w:r w:rsidR="000014D7">
        <w:rPr>
          <w:rFonts w:ascii="Times New Roman" w:hAnsi="Times New Roman" w:cs="Times New Roman"/>
          <w:sz w:val="24"/>
          <w:szCs w:val="24"/>
          <w:shd w:val="clear" w:color="auto" w:fill="FFFFFF"/>
        </w:rPr>
        <w:t xml:space="preserve"> </w:t>
      </w:r>
    </w:p>
    <w:p w:rsidR="00B83C3D" w:rsidRDefault="00B83C3D" w:rsidP="002677C2">
      <w:pPr>
        <w:spacing w:line="240" w:lineRule="auto"/>
        <w:ind w:firstLine="720"/>
        <w:contextualSpacing/>
        <w:rPr>
          <w:rFonts w:ascii="Times New Roman" w:hAnsi="Times New Roman" w:cs="Times New Roman"/>
          <w:sz w:val="24"/>
          <w:szCs w:val="24"/>
          <w:shd w:val="clear" w:color="auto" w:fill="FFFFFF"/>
        </w:rPr>
      </w:pPr>
      <w:r w:rsidRPr="00FB53AD">
        <w:rPr>
          <w:rFonts w:ascii="Times New Roman" w:hAnsi="Times New Roman" w:cs="Times New Roman"/>
          <w:sz w:val="24"/>
          <w:szCs w:val="24"/>
          <w:shd w:val="clear" w:color="auto" w:fill="FFFFFF"/>
        </w:rPr>
        <w:t>Vasudevan</w:t>
      </w:r>
      <w:r>
        <w:rPr>
          <w:rFonts w:ascii="Times New Roman" w:hAnsi="Times New Roman" w:cs="Times New Roman"/>
          <w:sz w:val="24"/>
          <w:szCs w:val="24"/>
          <w:shd w:val="clear" w:color="auto" w:fill="FFFFFF"/>
        </w:rPr>
        <w:t xml:space="preserve"> </w:t>
      </w:r>
      <w:r w:rsidR="00701584">
        <w:rPr>
          <w:rFonts w:ascii="Times New Roman" w:hAnsi="Times New Roman" w:cs="Times New Roman"/>
          <w:sz w:val="24"/>
          <w:szCs w:val="24"/>
          <w:shd w:val="clear" w:color="auto" w:fill="FFFFFF"/>
        </w:rPr>
        <w:t>proposed that</w:t>
      </w:r>
      <w:r>
        <w:rPr>
          <w:rFonts w:ascii="Times New Roman" w:hAnsi="Times New Roman" w:cs="Times New Roman"/>
          <w:sz w:val="24"/>
          <w:szCs w:val="24"/>
          <w:shd w:val="clear" w:color="auto" w:fill="FFFFFF"/>
        </w:rPr>
        <w:t xml:space="preserve"> this monetary mercantilism </w:t>
      </w:r>
      <w:r w:rsidR="00701584">
        <w:rPr>
          <w:rFonts w:ascii="Times New Roman" w:hAnsi="Times New Roman" w:cs="Times New Roman"/>
          <w:sz w:val="24"/>
          <w:szCs w:val="24"/>
          <w:shd w:val="clear" w:color="auto" w:fill="FFFFFF"/>
        </w:rPr>
        <w:t>resembles a new</w:t>
      </w:r>
      <w:r>
        <w:rPr>
          <w:rFonts w:ascii="Times New Roman" w:hAnsi="Times New Roman" w:cs="Times New Roman"/>
          <w:sz w:val="24"/>
          <w:szCs w:val="24"/>
          <w:shd w:val="clear" w:color="auto" w:fill="FFFFFF"/>
        </w:rPr>
        <w:t xml:space="preserve"> imperialism (2008). </w:t>
      </w:r>
      <w:r w:rsidR="006C6453">
        <w:rPr>
          <w:rFonts w:ascii="Times New Roman" w:hAnsi="Times New Roman" w:cs="Times New Roman"/>
          <w:sz w:val="24"/>
          <w:szCs w:val="24"/>
          <w:shd w:val="clear" w:color="auto" w:fill="FFFFFF"/>
        </w:rPr>
        <w:t>She argued that world money as the state liabilities of a global hegemon – the US – eases trade deficit and debt constraints on the US but exports debt-deflation and financial fragility to developing countries (2008; 2009). From this perspective, both processes “…</w:t>
      </w:r>
      <w:r w:rsidR="006C6453" w:rsidRPr="002B0565">
        <w:rPr>
          <w:rFonts w:ascii="Times New Roman" w:hAnsi="Times New Roman" w:cs="Times New Roman"/>
          <w:sz w:val="24"/>
          <w:szCs w:val="24"/>
        </w:rPr>
        <w:t>have been pivotal to preserving and extending the dollar standard</w:t>
      </w:r>
      <w:r w:rsidR="006C6453">
        <w:rPr>
          <w:rFonts w:ascii="Times New Roman" w:hAnsi="Times New Roman" w:cs="Times New Roman"/>
          <w:sz w:val="24"/>
          <w:szCs w:val="24"/>
        </w:rPr>
        <w:t>” (</w:t>
      </w:r>
      <w:r w:rsidR="006C6453" w:rsidRPr="00FB53AD">
        <w:rPr>
          <w:rFonts w:ascii="Times New Roman" w:hAnsi="Times New Roman" w:cs="Times New Roman"/>
          <w:sz w:val="24"/>
          <w:szCs w:val="24"/>
          <w:shd w:val="clear" w:color="auto" w:fill="FFFFFF"/>
        </w:rPr>
        <w:t>Vasudevan</w:t>
      </w:r>
      <w:r w:rsidR="006C6453">
        <w:rPr>
          <w:rFonts w:ascii="Times New Roman" w:hAnsi="Times New Roman" w:cs="Times New Roman"/>
          <w:sz w:val="24"/>
          <w:szCs w:val="24"/>
          <w:shd w:val="clear" w:color="auto" w:fill="FFFFFF"/>
        </w:rPr>
        <w:t xml:space="preserve"> 2008: </w:t>
      </w:r>
      <w:r w:rsidR="006C6453">
        <w:rPr>
          <w:rFonts w:ascii="Times New Roman" w:hAnsi="Times New Roman" w:cs="Times New Roman"/>
          <w:sz w:val="24"/>
          <w:szCs w:val="24"/>
        </w:rPr>
        <w:t>487).</w:t>
      </w:r>
    </w:p>
    <w:p w:rsidR="002B0565" w:rsidRDefault="002B0565" w:rsidP="002677C2">
      <w:pPr>
        <w:spacing w:line="240" w:lineRule="auto"/>
        <w:contextualSpacing/>
        <w:rPr>
          <w:rFonts w:ascii="Times New Roman" w:hAnsi="Times New Roman" w:cs="Times New Roman"/>
          <w:sz w:val="24"/>
          <w:szCs w:val="24"/>
        </w:rPr>
      </w:pPr>
    </w:p>
    <w:p w:rsidR="006B278A" w:rsidRPr="00890316" w:rsidRDefault="005C0802" w:rsidP="002677C2">
      <w:pPr>
        <w:spacing w:line="240" w:lineRule="auto"/>
        <w:contextualSpacing/>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Sociocultural</w:t>
      </w:r>
    </w:p>
    <w:p w:rsidR="006B1872" w:rsidRDefault="005C0802" w:rsidP="002677C2">
      <w:pPr>
        <w:spacing w:line="240" w:lineRule="auto"/>
        <w:ind w:firstLine="720"/>
        <w:contextualSpacing/>
        <w:rPr>
          <w:rFonts w:ascii="Times New Roman" w:hAnsi="Times New Roman" w:cs="Times New Roman"/>
          <w:sz w:val="24"/>
          <w:szCs w:val="24"/>
          <w:shd w:val="clear" w:color="auto" w:fill="FFFFFF"/>
        </w:rPr>
      </w:pPr>
      <w:r w:rsidRPr="00890316">
        <w:rPr>
          <w:rFonts w:ascii="Times New Roman" w:hAnsi="Times New Roman" w:cs="Times New Roman"/>
          <w:sz w:val="24"/>
          <w:szCs w:val="24"/>
          <w:shd w:val="clear" w:color="auto" w:fill="FFFFFF"/>
        </w:rPr>
        <w:t xml:space="preserve">A group of sociologists have demonstrated the </w:t>
      </w:r>
      <w:r w:rsidR="006B1872">
        <w:rPr>
          <w:rFonts w:ascii="Times New Roman" w:hAnsi="Times New Roman" w:cs="Times New Roman"/>
          <w:sz w:val="24"/>
          <w:szCs w:val="24"/>
          <w:shd w:val="clear" w:color="auto" w:fill="FFFFFF"/>
        </w:rPr>
        <w:t xml:space="preserve">multiplicities </w:t>
      </w:r>
      <w:r w:rsidRPr="00890316">
        <w:rPr>
          <w:rFonts w:ascii="Times New Roman" w:hAnsi="Times New Roman" w:cs="Times New Roman"/>
          <w:sz w:val="24"/>
          <w:szCs w:val="24"/>
          <w:shd w:val="clear" w:color="auto" w:fill="FFFFFF"/>
        </w:rPr>
        <w:t>of money</w:t>
      </w:r>
      <w:r w:rsidR="006B1872">
        <w:rPr>
          <w:rFonts w:ascii="Times New Roman" w:hAnsi="Times New Roman" w:cs="Times New Roman"/>
          <w:sz w:val="24"/>
          <w:szCs w:val="24"/>
          <w:shd w:val="clear" w:color="auto" w:fill="FFFFFF"/>
        </w:rPr>
        <w:t xml:space="preserve"> and their essential significance</w:t>
      </w:r>
      <w:r w:rsidRPr="00890316">
        <w:rPr>
          <w:rFonts w:ascii="Times New Roman" w:hAnsi="Times New Roman" w:cs="Times New Roman"/>
          <w:sz w:val="24"/>
          <w:szCs w:val="24"/>
          <w:shd w:val="clear" w:color="auto" w:fill="FFFFFF"/>
        </w:rPr>
        <w:t xml:space="preserve">. Sociologist Dodd considered the pluralities of money </w:t>
      </w:r>
      <w:r w:rsidR="006B1872">
        <w:rPr>
          <w:rFonts w:ascii="Times New Roman" w:hAnsi="Times New Roman" w:cs="Times New Roman"/>
          <w:sz w:val="24"/>
          <w:szCs w:val="24"/>
          <w:shd w:val="clear" w:color="auto" w:fill="FFFFFF"/>
        </w:rPr>
        <w:t>and</w:t>
      </w:r>
      <w:r w:rsidRPr="00890316">
        <w:rPr>
          <w:rFonts w:ascii="Times New Roman" w:hAnsi="Times New Roman" w:cs="Times New Roman"/>
          <w:sz w:val="24"/>
          <w:szCs w:val="24"/>
          <w:shd w:val="clear" w:color="auto" w:fill="FFFFFF"/>
        </w:rPr>
        <w:t xml:space="preserve"> arrive</w:t>
      </w:r>
      <w:r w:rsidR="006B1872">
        <w:rPr>
          <w:rFonts w:ascii="Times New Roman" w:hAnsi="Times New Roman" w:cs="Times New Roman"/>
          <w:sz w:val="24"/>
          <w:szCs w:val="24"/>
          <w:shd w:val="clear" w:color="auto" w:fill="FFFFFF"/>
        </w:rPr>
        <w:t>d</w:t>
      </w:r>
      <w:r w:rsidRPr="00890316">
        <w:rPr>
          <w:rFonts w:ascii="Times New Roman" w:hAnsi="Times New Roman" w:cs="Times New Roman"/>
          <w:sz w:val="24"/>
          <w:szCs w:val="24"/>
          <w:shd w:val="clear" w:color="auto" w:fill="FFFFFF"/>
        </w:rPr>
        <w:t xml:space="preserve"> at a general definition</w:t>
      </w:r>
      <w:r w:rsidR="006B1872">
        <w:rPr>
          <w:rFonts w:ascii="Times New Roman" w:hAnsi="Times New Roman" w:cs="Times New Roman"/>
          <w:sz w:val="24"/>
          <w:szCs w:val="24"/>
          <w:shd w:val="clear" w:color="auto" w:fill="FFFFFF"/>
        </w:rPr>
        <w:t xml:space="preserve"> -</w:t>
      </w:r>
      <w:r w:rsidRPr="00890316">
        <w:rPr>
          <w:rFonts w:ascii="Times New Roman" w:hAnsi="Times New Roman" w:cs="Times New Roman"/>
          <w:sz w:val="24"/>
          <w:szCs w:val="24"/>
          <w:shd w:val="clear" w:color="auto" w:fill="FFFFFF"/>
        </w:rPr>
        <w:t xml:space="preserve"> “Money is a process, not a thing, whose value derives from the dynamic, ever-changing, and often contested social relations that sustain its circulation</w:t>
      </w:r>
      <w:r w:rsidR="006B1872">
        <w:rPr>
          <w:rFonts w:ascii="Times New Roman" w:hAnsi="Times New Roman" w:cs="Times New Roman"/>
          <w:sz w:val="24"/>
          <w:szCs w:val="24"/>
          <w:shd w:val="clear" w:color="auto" w:fill="FFFFFF"/>
        </w:rPr>
        <w:t>”</w:t>
      </w:r>
      <w:r w:rsidRPr="00890316">
        <w:rPr>
          <w:rFonts w:ascii="Times New Roman" w:hAnsi="Times New Roman" w:cs="Times New Roman"/>
          <w:sz w:val="24"/>
          <w:szCs w:val="24"/>
          <w:shd w:val="clear" w:color="auto" w:fill="FFFFFF"/>
        </w:rPr>
        <w:t xml:space="preserve"> (2014: IX). </w:t>
      </w:r>
      <w:r w:rsidR="006B1872">
        <w:rPr>
          <w:rFonts w:ascii="Times New Roman" w:hAnsi="Times New Roman" w:cs="Times New Roman"/>
          <w:sz w:val="24"/>
          <w:szCs w:val="24"/>
          <w:shd w:val="clear" w:color="auto" w:fill="FFFFFF"/>
        </w:rPr>
        <w:t>Dodd builds on classical sociologist</w:t>
      </w:r>
      <w:r w:rsidR="006B1872" w:rsidRPr="006B1872">
        <w:t xml:space="preserve"> </w:t>
      </w:r>
      <w:r w:rsidR="006B1872" w:rsidRPr="006B1872">
        <w:rPr>
          <w:rFonts w:ascii="Times New Roman" w:hAnsi="Times New Roman" w:cs="Times New Roman"/>
          <w:sz w:val="24"/>
          <w:szCs w:val="24"/>
          <w:shd w:val="clear" w:color="auto" w:fill="FFFFFF"/>
        </w:rPr>
        <w:t>Georg Simmel</w:t>
      </w:r>
      <w:r w:rsidR="006B1872">
        <w:rPr>
          <w:rFonts w:ascii="Times New Roman" w:hAnsi="Times New Roman" w:cs="Times New Roman"/>
          <w:sz w:val="24"/>
          <w:szCs w:val="24"/>
          <w:shd w:val="clear" w:color="auto" w:fill="FFFFFF"/>
        </w:rPr>
        <w:t xml:space="preserve"> would elaborated money as a </w:t>
      </w:r>
      <w:r w:rsidRPr="005C0802">
        <w:rPr>
          <w:rFonts w:ascii="Times New Roman" w:hAnsi="Times New Roman" w:cs="Times New Roman"/>
          <w:sz w:val="24"/>
          <w:szCs w:val="24"/>
          <w:shd w:val="clear" w:color="auto" w:fill="FFFFFF"/>
        </w:rPr>
        <w:t>“claim upon society”</w:t>
      </w:r>
      <w:r w:rsidR="006B1872">
        <w:rPr>
          <w:rFonts w:ascii="Times New Roman" w:hAnsi="Times New Roman" w:cs="Times New Roman"/>
          <w:sz w:val="24"/>
          <w:szCs w:val="24"/>
          <w:shd w:val="clear" w:color="auto" w:fill="FFFFFF"/>
        </w:rPr>
        <w:t xml:space="preserve"> in which m</w:t>
      </w:r>
      <w:r w:rsidRPr="005C0802">
        <w:rPr>
          <w:rFonts w:ascii="Times New Roman" w:hAnsi="Times New Roman" w:cs="Times New Roman"/>
          <w:sz w:val="24"/>
          <w:szCs w:val="24"/>
          <w:shd w:val="clear" w:color="auto" w:fill="FFFFFF"/>
        </w:rPr>
        <w:t xml:space="preserve">oney </w:t>
      </w:r>
      <w:r w:rsidR="006B1872">
        <w:rPr>
          <w:rFonts w:ascii="Times New Roman" w:hAnsi="Times New Roman" w:cs="Times New Roman"/>
          <w:sz w:val="24"/>
          <w:szCs w:val="24"/>
          <w:shd w:val="clear" w:color="auto" w:fill="FFFFFF"/>
        </w:rPr>
        <w:t>is</w:t>
      </w:r>
      <w:r w:rsidRPr="005C0802">
        <w:rPr>
          <w:rFonts w:ascii="Times New Roman" w:hAnsi="Times New Roman" w:cs="Times New Roman"/>
          <w:sz w:val="24"/>
          <w:szCs w:val="24"/>
          <w:shd w:val="clear" w:color="auto" w:fill="FFFFFF"/>
        </w:rPr>
        <w:t xml:space="preserve"> debt between an individual and </w:t>
      </w:r>
      <w:r w:rsidR="006B1872">
        <w:rPr>
          <w:rFonts w:ascii="Times New Roman" w:hAnsi="Times New Roman" w:cs="Times New Roman"/>
          <w:sz w:val="24"/>
          <w:szCs w:val="24"/>
          <w:shd w:val="clear" w:color="auto" w:fill="FFFFFF"/>
        </w:rPr>
        <w:t xml:space="preserve">wider </w:t>
      </w:r>
      <w:r w:rsidRPr="005C0802">
        <w:rPr>
          <w:rFonts w:ascii="Times New Roman" w:hAnsi="Times New Roman" w:cs="Times New Roman"/>
          <w:sz w:val="24"/>
          <w:szCs w:val="24"/>
          <w:shd w:val="clear" w:color="auto" w:fill="FFFFFF"/>
        </w:rPr>
        <w:t>“society</w:t>
      </w:r>
      <w:r w:rsidR="006B1872">
        <w:rPr>
          <w:rFonts w:ascii="Times New Roman" w:hAnsi="Times New Roman" w:cs="Times New Roman"/>
          <w:sz w:val="24"/>
          <w:szCs w:val="24"/>
          <w:shd w:val="clear" w:color="auto" w:fill="FFFFFF"/>
        </w:rPr>
        <w:t>.</w:t>
      </w:r>
      <w:r w:rsidRPr="005C0802">
        <w:rPr>
          <w:rFonts w:ascii="Times New Roman" w:hAnsi="Times New Roman" w:cs="Times New Roman"/>
          <w:sz w:val="24"/>
          <w:szCs w:val="24"/>
          <w:shd w:val="clear" w:color="auto" w:fill="FFFFFF"/>
        </w:rPr>
        <w:t xml:space="preserve">” Dodd </w:t>
      </w:r>
      <w:r w:rsidR="006B1872">
        <w:rPr>
          <w:rFonts w:ascii="Times New Roman" w:hAnsi="Times New Roman" w:cs="Times New Roman"/>
          <w:sz w:val="24"/>
          <w:szCs w:val="24"/>
          <w:shd w:val="clear" w:color="auto" w:fill="FFFFFF"/>
        </w:rPr>
        <w:t>draws on a</w:t>
      </w:r>
      <w:r w:rsidR="006B1872" w:rsidRPr="00890316">
        <w:rPr>
          <w:rFonts w:ascii="Times New Roman" w:hAnsi="Times New Roman" w:cs="Times New Roman"/>
          <w:sz w:val="24"/>
          <w:szCs w:val="24"/>
          <w:shd w:val="clear" w:color="auto" w:fill="FFFFFF"/>
        </w:rPr>
        <w:t xml:space="preserve">nthropologist Hart </w:t>
      </w:r>
      <w:r w:rsidR="006B1872">
        <w:rPr>
          <w:rFonts w:ascii="Times New Roman" w:hAnsi="Times New Roman" w:cs="Times New Roman"/>
          <w:sz w:val="24"/>
          <w:szCs w:val="24"/>
          <w:shd w:val="clear" w:color="auto" w:fill="FFFFFF"/>
        </w:rPr>
        <w:t xml:space="preserve">(2000) </w:t>
      </w:r>
      <w:r w:rsidR="003719E2">
        <w:rPr>
          <w:rFonts w:ascii="Times New Roman" w:hAnsi="Times New Roman" w:cs="Times New Roman"/>
          <w:sz w:val="24"/>
          <w:szCs w:val="24"/>
          <w:shd w:val="clear" w:color="auto" w:fill="FFFFFF"/>
        </w:rPr>
        <w:t>for an expansive definition of “society.” Hart</w:t>
      </w:r>
      <w:r w:rsidR="006B1872">
        <w:rPr>
          <w:rFonts w:ascii="Times New Roman" w:hAnsi="Times New Roman" w:cs="Times New Roman"/>
          <w:sz w:val="24"/>
          <w:szCs w:val="24"/>
          <w:shd w:val="clear" w:color="auto" w:fill="FFFFFF"/>
        </w:rPr>
        <w:t xml:space="preserve"> </w:t>
      </w:r>
      <w:r w:rsidR="006B1872" w:rsidRPr="00890316">
        <w:rPr>
          <w:rFonts w:ascii="Times New Roman" w:hAnsi="Times New Roman" w:cs="Times New Roman"/>
          <w:sz w:val="24"/>
          <w:szCs w:val="24"/>
          <w:shd w:val="clear" w:color="auto" w:fill="FFFFFF"/>
        </w:rPr>
        <w:t>insist</w:t>
      </w:r>
      <w:r w:rsidR="006B1872">
        <w:rPr>
          <w:rFonts w:ascii="Times New Roman" w:hAnsi="Times New Roman" w:cs="Times New Roman"/>
          <w:sz w:val="24"/>
          <w:szCs w:val="24"/>
          <w:shd w:val="clear" w:color="auto" w:fill="FFFFFF"/>
        </w:rPr>
        <w:t>ed</w:t>
      </w:r>
      <w:r w:rsidR="006B1872" w:rsidRPr="00890316">
        <w:rPr>
          <w:rFonts w:ascii="Times New Roman" w:hAnsi="Times New Roman" w:cs="Times New Roman"/>
          <w:sz w:val="24"/>
          <w:szCs w:val="24"/>
          <w:shd w:val="clear" w:color="auto" w:fill="FFFFFF"/>
        </w:rPr>
        <w:t xml:space="preserve"> that money is </w:t>
      </w:r>
      <w:r w:rsidR="006B1872" w:rsidRPr="00890316">
        <w:rPr>
          <w:rFonts w:ascii="Times New Roman" w:hAnsi="Times New Roman" w:cs="Times New Roman"/>
          <w:sz w:val="24"/>
          <w:szCs w:val="24"/>
          <w:shd w:val="clear" w:color="auto" w:fill="FFFFFF"/>
        </w:rPr>
        <w:lastRenderedPageBreak/>
        <w:t>intangible, it is a “collective memory” of the myriad potential ways that communities, nations, and states appropriate money</w:t>
      </w:r>
      <w:r w:rsidR="003719E2">
        <w:rPr>
          <w:rFonts w:ascii="Times New Roman" w:hAnsi="Times New Roman" w:cs="Times New Roman"/>
          <w:sz w:val="24"/>
          <w:szCs w:val="24"/>
          <w:shd w:val="clear" w:color="auto" w:fill="FFFFFF"/>
        </w:rPr>
        <w:t xml:space="preserve"> (2000)</w:t>
      </w:r>
      <w:r w:rsidR="006B1872" w:rsidRPr="00890316">
        <w:rPr>
          <w:rFonts w:ascii="Times New Roman" w:hAnsi="Times New Roman" w:cs="Times New Roman"/>
          <w:sz w:val="24"/>
          <w:szCs w:val="24"/>
          <w:shd w:val="clear" w:color="auto" w:fill="FFFFFF"/>
        </w:rPr>
        <w:t>.</w:t>
      </w:r>
      <w:r w:rsidR="003719E2">
        <w:rPr>
          <w:rFonts w:ascii="Times New Roman" w:hAnsi="Times New Roman" w:cs="Times New Roman"/>
          <w:sz w:val="24"/>
          <w:szCs w:val="24"/>
          <w:shd w:val="clear" w:color="auto" w:fill="FFFFFF"/>
        </w:rPr>
        <w:t xml:space="preserve"> </w:t>
      </w:r>
    </w:p>
    <w:p w:rsidR="00B81605" w:rsidRDefault="003719E2" w:rsidP="002677C2">
      <w:pPr>
        <w:spacing w:line="240" w:lineRule="auto"/>
        <w:ind w:firstLine="720"/>
        <w:contextualSpacing/>
        <w:rPr>
          <w:rFonts w:ascii="Times New Roman" w:hAnsi="Times New Roman" w:cs="Times New Roman"/>
          <w:sz w:val="24"/>
          <w:szCs w:val="24"/>
          <w:shd w:val="clear" w:color="auto" w:fill="FFFFFF"/>
        </w:rPr>
      </w:pPr>
      <w:r w:rsidRPr="00890316">
        <w:rPr>
          <w:rFonts w:ascii="Times New Roman" w:hAnsi="Times New Roman" w:cs="Times New Roman"/>
          <w:sz w:val="24"/>
          <w:szCs w:val="24"/>
          <w:shd w:val="clear" w:color="auto" w:fill="FFFFFF"/>
        </w:rPr>
        <w:t xml:space="preserve">Sociologist </w:t>
      </w:r>
      <w:proofErr w:type="spellStart"/>
      <w:r w:rsidRPr="00890316">
        <w:rPr>
          <w:rFonts w:ascii="Times New Roman" w:hAnsi="Times New Roman" w:cs="Times New Roman"/>
          <w:sz w:val="24"/>
          <w:szCs w:val="24"/>
        </w:rPr>
        <w:t>Zeilzer</w:t>
      </w:r>
      <w:proofErr w:type="spellEnd"/>
      <w:r>
        <w:rPr>
          <w:rFonts w:ascii="Times New Roman" w:hAnsi="Times New Roman" w:cs="Times New Roman"/>
          <w:sz w:val="24"/>
          <w:szCs w:val="24"/>
          <w:shd w:val="clear" w:color="auto" w:fill="FFFFFF"/>
        </w:rPr>
        <w:t xml:space="preserve"> is the most notable sociocultural theorist, and she made extensive efforts to defend cultural approaches as a distinct framework from neoclassical and Marxian approaches. </w:t>
      </w:r>
      <w:proofErr w:type="spellStart"/>
      <w:r>
        <w:rPr>
          <w:rFonts w:ascii="Times New Roman" w:hAnsi="Times New Roman" w:cs="Times New Roman"/>
          <w:sz w:val="24"/>
          <w:szCs w:val="24"/>
          <w:shd w:val="clear" w:color="auto" w:fill="FFFFFF"/>
        </w:rPr>
        <w:t>Zeilzer</w:t>
      </w:r>
      <w:proofErr w:type="spellEnd"/>
      <w:r>
        <w:rPr>
          <w:rFonts w:ascii="Times New Roman" w:hAnsi="Times New Roman" w:cs="Times New Roman"/>
          <w:sz w:val="24"/>
          <w:szCs w:val="24"/>
          <w:shd w:val="clear" w:color="auto" w:fill="FFFFFF"/>
        </w:rPr>
        <w:t xml:space="preserve"> defined money, </w:t>
      </w:r>
    </w:p>
    <w:p w:rsidR="00B81605" w:rsidRDefault="003719E2" w:rsidP="002677C2">
      <w:pPr>
        <w:spacing w:line="240" w:lineRule="auto"/>
        <w:ind w:left="720" w:right="720"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05A17">
        <w:rPr>
          <w:rFonts w:ascii="Times New Roman" w:hAnsi="Times New Roman" w:cs="Times New Roman"/>
          <w:sz w:val="24"/>
          <w:szCs w:val="24"/>
          <w:shd w:val="clear" w:color="auto" w:fill="FFFFFF"/>
        </w:rPr>
        <w:t>Money is an abstraction that observers make from social interactions. It is a matter of degree; to the extent that interactions transfer rights to goods and services by means of tokens that could also serve transfers of other such rights, we can call those tokens money.</w:t>
      </w:r>
      <w:r w:rsidR="00B81605">
        <w:rPr>
          <w:rFonts w:ascii="Times New Roman" w:hAnsi="Times New Roman" w:cs="Times New Roman"/>
          <w:sz w:val="24"/>
          <w:szCs w:val="24"/>
          <w:shd w:val="clear" w:color="auto" w:fill="FFFFFF"/>
        </w:rPr>
        <w:t>”</w:t>
      </w:r>
      <w:r w:rsidRPr="00305A17">
        <w:rPr>
          <w:rFonts w:ascii="Times New Roman" w:hAnsi="Times New Roman" w:cs="Times New Roman"/>
          <w:sz w:val="24"/>
          <w:szCs w:val="24"/>
          <w:shd w:val="clear" w:color="auto" w:fill="FFFFFF"/>
        </w:rPr>
        <w:t xml:space="preserve"> </w:t>
      </w:r>
      <w:r w:rsidR="00B81605">
        <w:rPr>
          <w:rFonts w:ascii="Times New Roman" w:hAnsi="Times New Roman" w:cs="Times New Roman"/>
          <w:sz w:val="24"/>
          <w:szCs w:val="24"/>
          <w:shd w:val="clear" w:color="auto" w:fill="FFFFFF"/>
        </w:rPr>
        <w:t>(2000: 384).</w:t>
      </w:r>
    </w:p>
    <w:p w:rsidR="008C0D4E" w:rsidRDefault="00B81605" w:rsidP="002677C2">
      <w:pPr>
        <w:spacing w:line="240" w:lineRule="auto"/>
        <w:ind w:firstLine="720"/>
        <w:contextualSpacing/>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Zeilzer</w:t>
      </w:r>
      <w:proofErr w:type="spellEnd"/>
      <w:r>
        <w:rPr>
          <w:rFonts w:ascii="Times New Roman" w:hAnsi="Times New Roman" w:cs="Times New Roman"/>
          <w:sz w:val="24"/>
          <w:szCs w:val="24"/>
          <w:shd w:val="clear" w:color="auto" w:fill="FFFFFF"/>
        </w:rPr>
        <w:t xml:space="preserve"> proposed a continuum of </w:t>
      </w:r>
      <w:r w:rsidR="00CA5D3D">
        <w:rPr>
          <w:rFonts w:ascii="Times New Roman" w:hAnsi="Times New Roman" w:cs="Times New Roman"/>
          <w:sz w:val="24"/>
          <w:szCs w:val="24"/>
          <w:shd w:val="clear" w:color="auto" w:fill="FFFFFF"/>
        </w:rPr>
        <w:t>acceptability</w:t>
      </w:r>
      <w:r>
        <w:rPr>
          <w:rFonts w:ascii="Times New Roman" w:hAnsi="Times New Roman" w:cs="Times New Roman"/>
          <w:sz w:val="24"/>
          <w:szCs w:val="24"/>
          <w:shd w:val="clear" w:color="auto" w:fill="FFFFFF"/>
        </w:rPr>
        <w:t xml:space="preserve"> of </w:t>
      </w:r>
      <w:r w:rsidR="00CA5D3D">
        <w:rPr>
          <w:rFonts w:ascii="Times New Roman" w:hAnsi="Times New Roman" w:cs="Times New Roman"/>
          <w:sz w:val="24"/>
          <w:szCs w:val="24"/>
          <w:shd w:val="clear" w:color="auto" w:fill="FFFFFF"/>
        </w:rPr>
        <w:t>money</w:t>
      </w:r>
      <w:r>
        <w:rPr>
          <w:rFonts w:ascii="Times New Roman" w:hAnsi="Times New Roman" w:cs="Times New Roman"/>
          <w:sz w:val="24"/>
          <w:szCs w:val="24"/>
          <w:shd w:val="clear" w:color="auto" w:fill="FFFFFF"/>
        </w:rPr>
        <w:t xml:space="preserve"> from the most widely accepted (international currencies) to micro-level circuits. </w:t>
      </w:r>
      <w:proofErr w:type="spellStart"/>
      <w:r>
        <w:rPr>
          <w:rFonts w:ascii="Times New Roman" w:hAnsi="Times New Roman" w:cs="Times New Roman"/>
          <w:sz w:val="24"/>
          <w:szCs w:val="24"/>
          <w:shd w:val="clear" w:color="auto" w:fill="FFFFFF"/>
        </w:rPr>
        <w:t>Zeilzer</w:t>
      </w:r>
      <w:proofErr w:type="spellEnd"/>
      <w:r>
        <w:rPr>
          <w:rFonts w:ascii="Times New Roman" w:hAnsi="Times New Roman" w:cs="Times New Roman"/>
          <w:sz w:val="24"/>
          <w:szCs w:val="24"/>
          <w:shd w:val="clear" w:color="auto" w:fill="FFFFFF"/>
        </w:rPr>
        <w:t xml:space="preserve"> argued that “…</w:t>
      </w:r>
      <w:r w:rsidR="003719E2" w:rsidRPr="000D7538">
        <w:rPr>
          <w:rFonts w:ascii="Times New Roman" w:hAnsi="Times New Roman" w:cs="Times New Roman"/>
          <w:sz w:val="24"/>
          <w:szCs w:val="24"/>
          <w:shd w:val="clear" w:color="auto" w:fill="FFFFFF"/>
        </w:rPr>
        <w:t>every currency attaches to a circuit of exchange and every circuit of exchange includes a concrete set of meaningful social relations</w:t>
      </w:r>
      <w:r>
        <w:rPr>
          <w:rFonts w:ascii="Times New Roman" w:hAnsi="Times New Roman" w:cs="Times New Roman"/>
          <w:sz w:val="24"/>
          <w:szCs w:val="24"/>
          <w:shd w:val="clear" w:color="auto" w:fill="FFFFFF"/>
        </w:rPr>
        <w:t xml:space="preserve">” (2000: 387). </w:t>
      </w:r>
      <w:r w:rsidR="008C0D4E">
        <w:rPr>
          <w:rFonts w:ascii="Times New Roman" w:hAnsi="Times New Roman" w:cs="Times New Roman"/>
          <w:sz w:val="24"/>
          <w:szCs w:val="24"/>
          <w:shd w:val="clear" w:color="auto" w:fill="FFFFFF"/>
        </w:rPr>
        <w:t>These c</w:t>
      </w:r>
      <w:r>
        <w:rPr>
          <w:rFonts w:ascii="Times New Roman" w:hAnsi="Times New Roman" w:cs="Times New Roman"/>
          <w:sz w:val="24"/>
          <w:szCs w:val="24"/>
          <w:shd w:val="clear" w:color="auto" w:fill="FFFFFF"/>
        </w:rPr>
        <w:t>ircuits of exchange</w:t>
      </w:r>
      <w:r w:rsidR="008C0D4E">
        <w:rPr>
          <w:rFonts w:ascii="Times New Roman" w:hAnsi="Times New Roman" w:cs="Times New Roman"/>
          <w:sz w:val="24"/>
          <w:szCs w:val="24"/>
          <w:shd w:val="clear" w:color="auto" w:fill="FFFFFF"/>
        </w:rPr>
        <w:t xml:space="preserve"> determine their own meanings of money. That is, “…</w:t>
      </w:r>
      <w:r w:rsidR="008C0D4E" w:rsidRPr="008C0D4E">
        <w:rPr>
          <w:rFonts w:ascii="Times New Roman" w:hAnsi="Times New Roman" w:cs="Times New Roman"/>
          <w:sz w:val="24"/>
          <w:szCs w:val="24"/>
          <w:shd w:val="clear" w:color="auto" w:fill="FFFFFF"/>
        </w:rPr>
        <w:t>in all areas of economic life, people are creating, maintaining, symbolizing, and transforming meaningful social relations</w:t>
      </w:r>
      <w:r w:rsidR="008C0D4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008C0D4E">
        <w:rPr>
          <w:rFonts w:ascii="Times New Roman" w:hAnsi="Times New Roman" w:cs="Times New Roman"/>
          <w:sz w:val="24"/>
          <w:szCs w:val="24"/>
          <w:shd w:val="clear" w:color="auto" w:fill="FFFFFF"/>
        </w:rPr>
        <w:t>Zeilzer</w:t>
      </w:r>
      <w:proofErr w:type="spellEnd"/>
      <w:r w:rsidR="008C0D4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2000: 388)</w:t>
      </w:r>
      <w:r w:rsidRPr="000D75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1F7447" w:rsidRDefault="00B81605" w:rsidP="002677C2">
      <w:pPr>
        <w:spacing w:line="240" w:lineRule="auto"/>
        <w:ind w:firstLine="720"/>
        <w:contextualSpacing/>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Zeilzer</w:t>
      </w:r>
      <w:proofErr w:type="spellEnd"/>
      <w:r>
        <w:rPr>
          <w:rFonts w:ascii="Times New Roman" w:hAnsi="Times New Roman" w:cs="Times New Roman"/>
          <w:sz w:val="24"/>
          <w:szCs w:val="24"/>
          <w:shd w:val="clear" w:color="auto" w:fill="FFFFFF"/>
        </w:rPr>
        <w:t xml:space="preserve"> described these processes as “earmarking” money flows, which </w:t>
      </w:r>
      <w:r w:rsidR="00CA006F">
        <w:rPr>
          <w:rFonts w:ascii="Times New Roman" w:hAnsi="Times New Roman" w:cs="Times New Roman"/>
          <w:sz w:val="24"/>
          <w:szCs w:val="24"/>
          <w:shd w:val="clear" w:color="auto" w:fill="FFFFFF"/>
        </w:rPr>
        <w:t xml:space="preserve">refers to </w:t>
      </w:r>
      <w:r>
        <w:rPr>
          <w:rFonts w:ascii="Times New Roman" w:hAnsi="Times New Roman" w:cs="Times New Roman"/>
          <w:sz w:val="24"/>
          <w:szCs w:val="24"/>
          <w:shd w:val="clear" w:color="auto" w:fill="FFFFFF"/>
        </w:rPr>
        <w:t>the</w:t>
      </w:r>
      <w:r w:rsidRPr="00890316">
        <w:rPr>
          <w:rFonts w:ascii="Times New Roman" w:hAnsi="Times New Roman" w:cs="Times New Roman"/>
          <w:sz w:val="24"/>
          <w:szCs w:val="24"/>
          <w:shd w:val="clear" w:color="auto" w:fill="FFFFFF"/>
        </w:rPr>
        <w:t xml:space="preserve"> </w:t>
      </w:r>
      <w:r w:rsidR="00CA006F">
        <w:rPr>
          <w:rFonts w:ascii="Times New Roman" w:hAnsi="Times New Roman" w:cs="Times New Roman"/>
          <w:sz w:val="24"/>
          <w:szCs w:val="24"/>
          <w:shd w:val="clear" w:color="auto" w:fill="FFFFFF"/>
        </w:rPr>
        <w:t>infinite, context-specific</w:t>
      </w:r>
      <w:r w:rsidRPr="008903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ways that people</w:t>
      </w:r>
      <w:r w:rsidRPr="00890316">
        <w:rPr>
          <w:rFonts w:ascii="Times New Roman" w:hAnsi="Times New Roman" w:cs="Times New Roman"/>
          <w:sz w:val="24"/>
          <w:szCs w:val="24"/>
          <w:shd w:val="clear" w:color="auto" w:fill="FFFFFF"/>
        </w:rPr>
        <w:t xml:space="preserve"> sav</w:t>
      </w:r>
      <w:r>
        <w:rPr>
          <w:rFonts w:ascii="Times New Roman" w:hAnsi="Times New Roman" w:cs="Times New Roman"/>
          <w:sz w:val="24"/>
          <w:szCs w:val="24"/>
          <w:shd w:val="clear" w:color="auto" w:fill="FFFFFF"/>
        </w:rPr>
        <w:t>e</w:t>
      </w:r>
      <w:r w:rsidRPr="00890316">
        <w:rPr>
          <w:rFonts w:ascii="Times New Roman" w:hAnsi="Times New Roman" w:cs="Times New Roman"/>
          <w:sz w:val="24"/>
          <w:szCs w:val="24"/>
          <w:shd w:val="clear" w:color="auto" w:fill="FFFFFF"/>
        </w:rPr>
        <w:t>, consum</w:t>
      </w:r>
      <w:r>
        <w:rPr>
          <w:rFonts w:ascii="Times New Roman" w:hAnsi="Times New Roman" w:cs="Times New Roman"/>
          <w:sz w:val="24"/>
          <w:szCs w:val="24"/>
          <w:shd w:val="clear" w:color="auto" w:fill="FFFFFF"/>
        </w:rPr>
        <w:t>e</w:t>
      </w:r>
      <w:r w:rsidRPr="00890316">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borrow</w:t>
      </w:r>
      <w:r w:rsidR="00CA006F">
        <w:rPr>
          <w:rFonts w:ascii="Times New Roman" w:hAnsi="Times New Roman" w:cs="Times New Roman"/>
          <w:sz w:val="24"/>
          <w:szCs w:val="24"/>
          <w:shd w:val="clear" w:color="auto" w:fill="FFFFFF"/>
        </w:rPr>
        <w:t xml:space="preserve"> </w:t>
      </w:r>
      <w:r w:rsidRPr="00890316">
        <w:rPr>
          <w:rFonts w:ascii="Times New Roman" w:hAnsi="Times New Roman" w:cs="Times New Roman"/>
          <w:sz w:val="24"/>
          <w:szCs w:val="24"/>
          <w:shd w:val="clear" w:color="auto" w:fill="FFFFFF"/>
        </w:rPr>
        <w:t>(1997: 19).</w:t>
      </w:r>
      <w:r>
        <w:rPr>
          <w:rFonts w:ascii="Times New Roman" w:hAnsi="Times New Roman" w:cs="Times New Roman"/>
          <w:sz w:val="24"/>
          <w:szCs w:val="24"/>
          <w:shd w:val="clear" w:color="auto" w:fill="FFFFFF"/>
        </w:rPr>
        <w:t xml:space="preserve"> </w:t>
      </w:r>
      <w:r w:rsidR="001F7447">
        <w:rPr>
          <w:rFonts w:ascii="Times New Roman" w:hAnsi="Times New Roman" w:cs="Times New Roman"/>
          <w:sz w:val="24"/>
          <w:szCs w:val="24"/>
          <w:shd w:val="clear" w:color="auto" w:fill="FFFFFF"/>
        </w:rPr>
        <w:t xml:space="preserve">At the micro-level, this approach is necessary to understand why certain people “earmark” certain income flows for certain purposes and </w:t>
      </w:r>
      <w:proofErr w:type="spellStart"/>
      <w:r w:rsidR="001F7447">
        <w:rPr>
          <w:rFonts w:ascii="Times New Roman" w:hAnsi="Times New Roman" w:cs="Times New Roman"/>
          <w:sz w:val="24"/>
          <w:szCs w:val="24"/>
          <w:shd w:val="clear" w:color="auto" w:fill="FFFFFF"/>
        </w:rPr>
        <w:t>not</w:t>
      </w:r>
      <w:proofErr w:type="spellEnd"/>
      <w:r w:rsidR="001F7447">
        <w:rPr>
          <w:rFonts w:ascii="Times New Roman" w:hAnsi="Times New Roman" w:cs="Times New Roman"/>
          <w:sz w:val="24"/>
          <w:szCs w:val="24"/>
          <w:shd w:val="clear" w:color="auto" w:fill="FFFFFF"/>
        </w:rPr>
        <w:t xml:space="preserve"> other purposes, and</w:t>
      </w:r>
      <w:r w:rsidR="00CA5D3D">
        <w:rPr>
          <w:rFonts w:ascii="Times New Roman" w:hAnsi="Times New Roman" w:cs="Times New Roman"/>
          <w:sz w:val="24"/>
          <w:szCs w:val="24"/>
          <w:shd w:val="clear" w:color="auto" w:fill="FFFFFF"/>
        </w:rPr>
        <w:t xml:space="preserve"> the</w:t>
      </w:r>
      <w:r w:rsidR="001F7447">
        <w:rPr>
          <w:rFonts w:ascii="Times New Roman" w:hAnsi="Times New Roman" w:cs="Times New Roman"/>
          <w:sz w:val="24"/>
          <w:szCs w:val="24"/>
          <w:shd w:val="clear" w:color="auto" w:fill="FFFFFF"/>
        </w:rPr>
        <w:t xml:space="preserve"> social context of these decisions.</w:t>
      </w:r>
    </w:p>
    <w:p w:rsidR="003719E2" w:rsidRDefault="001F7447"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this sense, money is not fungible. </w:t>
      </w:r>
      <w:r w:rsidR="003B13C2">
        <w:rPr>
          <w:rFonts w:ascii="Times New Roman" w:hAnsi="Times New Roman" w:cs="Times New Roman"/>
          <w:sz w:val="24"/>
          <w:szCs w:val="24"/>
          <w:shd w:val="clear" w:color="auto" w:fill="FFFFFF"/>
        </w:rPr>
        <w:t xml:space="preserve">Money and its use is context-specific and it reflects broader social and political relations of its particular circuit. </w:t>
      </w:r>
      <w:r>
        <w:rPr>
          <w:rFonts w:ascii="Times New Roman" w:hAnsi="Times New Roman" w:cs="Times New Roman"/>
          <w:sz w:val="24"/>
          <w:szCs w:val="24"/>
          <w:shd w:val="clear" w:color="auto" w:fill="FFFFFF"/>
        </w:rPr>
        <w:t>“</w:t>
      </w:r>
      <w:r w:rsidR="008C0D4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armark</w:t>
      </w:r>
      <w:r w:rsidR="003B13C2">
        <w:rPr>
          <w:rFonts w:ascii="Times New Roman" w:hAnsi="Times New Roman" w:cs="Times New Roman"/>
          <w:sz w:val="24"/>
          <w:szCs w:val="24"/>
          <w:shd w:val="clear" w:color="auto" w:fill="FFFFFF"/>
        </w:rPr>
        <w:t>ing</w:t>
      </w:r>
      <w:r>
        <w:rPr>
          <w:rFonts w:ascii="Times New Roman" w:hAnsi="Times New Roman" w:cs="Times New Roman"/>
          <w:sz w:val="24"/>
          <w:szCs w:val="24"/>
          <w:shd w:val="clear" w:color="auto" w:fill="FFFFFF"/>
        </w:rPr>
        <w:t xml:space="preserve">” describes </w:t>
      </w:r>
      <w:r w:rsidR="008C0D4E">
        <w:rPr>
          <w:rFonts w:ascii="Times New Roman" w:hAnsi="Times New Roman" w:cs="Times New Roman"/>
          <w:sz w:val="24"/>
          <w:szCs w:val="24"/>
          <w:shd w:val="clear" w:color="auto" w:fill="FFFFFF"/>
        </w:rPr>
        <w:t xml:space="preserve">dynamics in </w:t>
      </w:r>
      <w:r>
        <w:rPr>
          <w:rFonts w:ascii="Times New Roman" w:hAnsi="Times New Roman" w:cs="Times New Roman"/>
          <w:sz w:val="24"/>
          <w:szCs w:val="24"/>
          <w:shd w:val="clear" w:color="auto" w:fill="FFFFFF"/>
        </w:rPr>
        <w:t>circuits of exchange at every level</w:t>
      </w:r>
      <w:r w:rsidR="003B13C2">
        <w:rPr>
          <w:rFonts w:ascii="Times New Roman" w:hAnsi="Times New Roman" w:cs="Times New Roman"/>
          <w:sz w:val="24"/>
          <w:szCs w:val="24"/>
          <w:shd w:val="clear" w:color="auto" w:fill="FFFFFF"/>
        </w:rPr>
        <w:t xml:space="preserve"> – from the household up to </w:t>
      </w:r>
      <w:r>
        <w:rPr>
          <w:rFonts w:ascii="Times New Roman" w:hAnsi="Times New Roman" w:cs="Times New Roman"/>
          <w:sz w:val="24"/>
          <w:szCs w:val="24"/>
          <w:shd w:val="clear" w:color="auto" w:fill="FFFFFF"/>
        </w:rPr>
        <w:t xml:space="preserve">policymakers in central banks. </w:t>
      </w:r>
      <w:r w:rsidR="003B13C2">
        <w:rPr>
          <w:rFonts w:ascii="Times New Roman" w:hAnsi="Times New Roman" w:cs="Times New Roman"/>
          <w:sz w:val="24"/>
          <w:szCs w:val="24"/>
          <w:shd w:val="clear" w:color="auto" w:fill="FFFFFF"/>
        </w:rPr>
        <w:t xml:space="preserve">While this perspective has not been developed to apply to the dollar standard, it can be argued that central bank decisions to accumulate dollar reserves also reflects </w:t>
      </w:r>
      <w:r w:rsidR="00CA5D3D">
        <w:rPr>
          <w:rFonts w:ascii="Times New Roman" w:hAnsi="Times New Roman" w:cs="Times New Roman"/>
          <w:sz w:val="24"/>
          <w:szCs w:val="24"/>
          <w:shd w:val="clear" w:color="auto" w:fill="FFFFFF"/>
        </w:rPr>
        <w:t xml:space="preserve">an </w:t>
      </w:r>
      <w:r w:rsidR="003B13C2">
        <w:rPr>
          <w:rFonts w:ascii="Times New Roman" w:hAnsi="Times New Roman" w:cs="Times New Roman"/>
          <w:sz w:val="24"/>
          <w:szCs w:val="24"/>
          <w:shd w:val="clear" w:color="auto" w:fill="FFFFFF"/>
        </w:rPr>
        <w:t>“earmarking” processes, in which the social meaning of dollar reserves are both negotiated and context-specific.</w:t>
      </w:r>
    </w:p>
    <w:p w:rsidR="006B278A" w:rsidRPr="00890316" w:rsidRDefault="006B278A" w:rsidP="002677C2">
      <w:pPr>
        <w:spacing w:line="240" w:lineRule="auto"/>
        <w:contextualSpacing/>
        <w:rPr>
          <w:rFonts w:ascii="Times New Roman" w:hAnsi="Times New Roman" w:cs="Times New Roman"/>
          <w:sz w:val="24"/>
          <w:szCs w:val="24"/>
        </w:rPr>
      </w:pPr>
    </w:p>
    <w:p w:rsidR="00A94080" w:rsidRPr="00890316" w:rsidRDefault="00B84497" w:rsidP="002677C2">
      <w:pPr>
        <w:spacing w:line="240" w:lineRule="auto"/>
        <w:contextualSpacing/>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Synthesizing </w:t>
      </w:r>
      <w:r w:rsidR="00A94080" w:rsidRPr="00890316">
        <w:rPr>
          <w:rFonts w:ascii="Times New Roman" w:hAnsi="Times New Roman" w:cs="Times New Roman"/>
          <w:i/>
          <w:sz w:val="24"/>
          <w:szCs w:val="24"/>
          <w:shd w:val="clear" w:color="auto" w:fill="FFFFFF"/>
        </w:rPr>
        <w:t xml:space="preserve">The Sociology of Money and </w:t>
      </w:r>
      <w:r>
        <w:rPr>
          <w:rFonts w:ascii="Times New Roman" w:hAnsi="Times New Roman" w:cs="Times New Roman"/>
          <w:i/>
          <w:sz w:val="24"/>
          <w:szCs w:val="24"/>
          <w:shd w:val="clear" w:color="auto" w:fill="FFFFFF"/>
        </w:rPr>
        <w:t xml:space="preserve">Applying it to </w:t>
      </w:r>
      <w:r w:rsidR="00A94080" w:rsidRPr="00890316">
        <w:rPr>
          <w:rFonts w:ascii="Times New Roman" w:hAnsi="Times New Roman" w:cs="Times New Roman"/>
          <w:i/>
          <w:sz w:val="24"/>
          <w:szCs w:val="24"/>
          <w:shd w:val="clear" w:color="auto" w:fill="FFFFFF"/>
        </w:rPr>
        <w:t xml:space="preserve">the </w:t>
      </w:r>
      <w:r w:rsidR="00A94080">
        <w:rPr>
          <w:rFonts w:ascii="Times New Roman" w:hAnsi="Times New Roman" w:cs="Times New Roman"/>
          <w:i/>
          <w:sz w:val="24"/>
          <w:szCs w:val="24"/>
          <w:shd w:val="clear" w:color="auto" w:fill="FFFFFF"/>
        </w:rPr>
        <w:t>US</w:t>
      </w:r>
      <w:r w:rsidR="00A94080" w:rsidRPr="00890316">
        <w:rPr>
          <w:rFonts w:ascii="Times New Roman" w:hAnsi="Times New Roman" w:cs="Times New Roman"/>
          <w:i/>
          <w:sz w:val="24"/>
          <w:szCs w:val="24"/>
          <w:shd w:val="clear" w:color="auto" w:fill="FFFFFF"/>
        </w:rPr>
        <w:t xml:space="preserve"> Dollar Standard</w:t>
      </w:r>
    </w:p>
    <w:p w:rsidR="003B13C2" w:rsidRDefault="00A94080"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 1990s and 2000s, scholars from the above three schools engaged in heated debate over the definitions of money, which is well analyzed and beyond the scope of this article. </w:t>
      </w:r>
      <w:r w:rsidR="00B84497">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y purpose is to </w:t>
      </w:r>
      <w:r w:rsidR="00CA5D3D">
        <w:rPr>
          <w:rFonts w:ascii="Times New Roman" w:hAnsi="Times New Roman" w:cs="Times New Roman"/>
          <w:sz w:val="24"/>
          <w:szCs w:val="24"/>
          <w:shd w:val="clear" w:color="auto" w:fill="FFFFFF"/>
        </w:rPr>
        <w:t xml:space="preserve">employ each perspective </w:t>
      </w:r>
      <w:r w:rsidR="009B64C3">
        <w:rPr>
          <w:rFonts w:ascii="Times New Roman" w:hAnsi="Times New Roman" w:cs="Times New Roman"/>
          <w:sz w:val="24"/>
          <w:szCs w:val="24"/>
          <w:shd w:val="clear" w:color="auto" w:fill="FFFFFF"/>
        </w:rPr>
        <w:t xml:space="preserve">to explain the sociological relationship between the dollar standard and US trade deficits. In this sense, monetary theory is underdeveloped for approaching the dollar standard from the perspective of market and political actors. </w:t>
      </w:r>
      <w:r w:rsidR="00E77018">
        <w:rPr>
          <w:rFonts w:ascii="Times New Roman" w:hAnsi="Times New Roman" w:cs="Times New Roman"/>
          <w:sz w:val="24"/>
          <w:szCs w:val="24"/>
          <w:shd w:val="clear" w:color="auto" w:fill="FFFFFF"/>
        </w:rPr>
        <w:t xml:space="preserve">Table One summarizes </w:t>
      </w:r>
      <w:r w:rsidR="00B01C08">
        <w:rPr>
          <w:rFonts w:ascii="Times New Roman" w:hAnsi="Times New Roman" w:cs="Times New Roman"/>
          <w:sz w:val="24"/>
          <w:szCs w:val="24"/>
          <w:shd w:val="clear" w:color="auto" w:fill="FFFFFF"/>
        </w:rPr>
        <w:t xml:space="preserve">the above three approaches </w:t>
      </w:r>
      <w:r w:rsidR="00E77018">
        <w:rPr>
          <w:rFonts w:ascii="Times New Roman" w:hAnsi="Times New Roman" w:cs="Times New Roman"/>
          <w:sz w:val="24"/>
          <w:szCs w:val="24"/>
          <w:shd w:val="clear" w:color="auto" w:fill="FFFFFF"/>
        </w:rPr>
        <w:t xml:space="preserve">and this section synthesizes these theories </w:t>
      </w:r>
      <w:r w:rsidR="00B01C08">
        <w:rPr>
          <w:rFonts w:ascii="Times New Roman" w:hAnsi="Times New Roman" w:cs="Times New Roman"/>
          <w:sz w:val="24"/>
          <w:szCs w:val="24"/>
          <w:shd w:val="clear" w:color="auto" w:fill="FFFFFF"/>
        </w:rPr>
        <w:t>to the end of developing sociological monetary theory of global imbalances, including the US trade deficit.</w:t>
      </w:r>
    </w:p>
    <w:p w:rsidR="00947A07" w:rsidRDefault="00947A07" w:rsidP="002677C2">
      <w:pPr>
        <w:spacing w:line="240" w:lineRule="auto"/>
        <w:ind w:firstLine="720"/>
        <w:contextualSpacing/>
        <w:rPr>
          <w:rFonts w:ascii="Times New Roman" w:hAnsi="Times New Roman" w:cs="Times New Roman"/>
          <w:sz w:val="24"/>
          <w:szCs w:val="24"/>
          <w:shd w:val="clear" w:color="auto" w:fill="FFFFFF"/>
        </w:rPr>
      </w:pPr>
    </w:p>
    <w:p w:rsidR="00947A07" w:rsidRDefault="00947A07" w:rsidP="002677C2">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EF6830" w:rsidRDefault="00EF6830" w:rsidP="002677C2">
      <w:pPr>
        <w:spacing w:line="240" w:lineRule="auto"/>
        <w:ind w:firstLine="720"/>
        <w:contextualSpacing/>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3116"/>
        <w:gridCol w:w="3117"/>
        <w:gridCol w:w="3117"/>
      </w:tblGrid>
      <w:tr w:rsidR="00B01C08" w:rsidTr="001029A7">
        <w:tc>
          <w:tcPr>
            <w:tcW w:w="9350" w:type="dxa"/>
            <w:gridSpan w:val="3"/>
          </w:tcPr>
          <w:p w:rsidR="00B01C08" w:rsidRDefault="00B01C08" w:rsidP="002677C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Table One: The Sociology of Money and its Application to the Dollar Standard</w:t>
            </w:r>
          </w:p>
        </w:tc>
      </w:tr>
      <w:tr w:rsidR="00EF6830" w:rsidTr="00EF6830">
        <w:tc>
          <w:tcPr>
            <w:tcW w:w="3116" w:type="dxa"/>
          </w:tcPr>
          <w:p w:rsidR="00EF6830" w:rsidRDefault="00EF6830" w:rsidP="002677C2">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Theory</w:t>
            </w:r>
          </w:p>
        </w:tc>
        <w:tc>
          <w:tcPr>
            <w:tcW w:w="3117" w:type="dxa"/>
          </w:tcPr>
          <w:p w:rsidR="00EF6830" w:rsidRDefault="00EF6830" w:rsidP="002677C2">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Definition of Money</w:t>
            </w:r>
          </w:p>
        </w:tc>
        <w:tc>
          <w:tcPr>
            <w:tcW w:w="3117" w:type="dxa"/>
          </w:tcPr>
          <w:p w:rsidR="00EF6830" w:rsidRDefault="00EF6830" w:rsidP="002677C2">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Application to Dollar Standard</w:t>
            </w:r>
          </w:p>
        </w:tc>
      </w:tr>
      <w:tr w:rsidR="00EF6830" w:rsidTr="00EF6830">
        <w:tc>
          <w:tcPr>
            <w:tcW w:w="3116" w:type="dxa"/>
          </w:tcPr>
          <w:p w:rsidR="009B64C3" w:rsidRDefault="009B64C3" w:rsidP="002677C2">
            <w:pPr>
              <w:contextualSpacing/>
              <w:jc w:val="center"/>
              <w:rPr>
                <w:rFonts w:ascii="Times New Roman" w:hAnsi="Times New Roman" w:cs="Times New Roman"/>
                <w:sz w:val="24"/>
                <w:szCs w:val="24"/>
                <w:shd w:val="clear" w:color="auto" w:fill="FFFFFF"/>
              </w:rPr>
            </w:pPr>
          </w:p>
          <w:p w:rsidR="009B64C3" w:rsidRDefault="009B64C3" w:rsidP="002677C2">
            <w:pPr>
              <w:contextualSpacing/>
              <w:jc w:val="center"/>
              <w:rPr>
                <w:rFonts w:ascii="Times New Roman" w:hAnsi="Times New Roman" w:cs="Times New Roman"/>
                <w:sz w:val="24"/>
                <w:szCs w:val="24"/>
                <w:shd w:val="clear" w:color="auto" w:fill="FFFFFF"/>
              </w:rPr>
            </w:pPr>
          </w:p>
          <w:p w:rsidR="009B64C3" w:rsidRDefault="009B64C3" w:rsidP="002677C2">
            <w:pPr>
              <w:contextualSpacing/>
              <w:jc w:val="center"/>
              <w:rPr>
                <w:rFonts w:ascii="Times New Roman" w:hAnsi="Times New Roman" w:cs="Times New Roman"/>
                <w:sz w:val="24"/>
                <w:szCs w:val="24"/>
                <w:shd w:val="clear" w:color="auto" w:fill="FFFFFF"/>
              </w:rPr>
            </w:pPr>
          </w:p>
          <w:p w:rsidR="00EF6830" w:rsidRDefault="00E8526A" w:rsidP="002677C2">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Statist</w:t>
            </w:r>
          </w:p>
        </w:tc>
        <w:tc>
          <w:tcPr>
            <w:tcW w:w="3117" w:type="dxa"/>
          </w:tcPr>
          <w:p w:rsidR="00EF6830" w:rsidRDefault="00E8526A" w:rsidP="002677C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Money is debt, there is a hierarchy of debt with </w:t>
            </w:r>
            <w:r w:rsidR="009B64C3">
              <w:rPr>
                <w:rFonts w:ascii="Times New Roman" w:hAnsi="Times New Roman" w:cs="Times New Roman"/>
                <w:sz w:val="24"/>
                <w:szCs w:val="24"/>
                <w:shd w:val="clear" w:color="auto" w:fill="FFFFFF"/>
              </w:rPr>
              <w:t>state</w:t>
            </w:r>
            <w:r>
              <w:rPr>
                <w:rFonts w:ascii="Times New Roman" w:hAnsi="Times New Roman" w:cs="Times New Roman"/>
                <w:sz w:val="24"/>
                <w:szCs w:val="24"/>
                <w:shd w:val="clear" w:color="auto" w:fill="FFFFFF"/>
              </w:rPr>
              <w:t xml:space="preserve"> credit-money on top; the value of money is determined by the balance of political power between debtors and creditors</w:t>
            </w:r>
          </w:p>
        </w:tc>
        <w:tc>
          <w:tcPr>
            <w:tcW w:w="3117" w:type="dxa"/>
          </w:tcPr>
          <w:p w:rsidR="00EF6830" w:rsidRDefault="00B06DC1" w:rsidP="002677C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dollar standard is dependent upon low-inflation conditions</w:t>
            </w:r>
            <w:r w:rsidR="00D00CBA">
              <w:rPr>
                <w:rFonts w:ascii="Times New Roman" w:hAnsi="Times New Roman" w:cs="Times New Roman"/>
                <w:sz w:val="24"/>
                <w:szCs w:val="24"/>
                <w:shd w:val="clear" w:color="auto" w:fill="FFFFFF"/>
              </w:rPr>
              <w:t xml:space="preserve"> because it enables globalization</w:t>
            </w:r>
            <w:r>
              <w:rPr>
                <w:rFonts w:ascii="Times New Roman" w:hAnsi="Times New Roman" w:cs="Times New Roman"/>
                <w:sz w:val="24"/>
                <w:szCs w:val="24"/>
                <w:shd w:val="clear" w:color="auto" w:fill="FFFFFF"/>
              </w:rPr>
              <w:t xml:space="preserve">, </w:t>
            </w:r>
            <w:r w:rsidR="00D00CBA">
              <w:rPr>
                <w:rFonts w:ascii="Times New Roman" w:hAnsi="Times New Roman" w:cs="Times New Roman"/>
                <w:sz w:val="24"/>
                <w:szCs w:val="24"/>
                <w:shd w:val="clear" w:color="auto" w:fill="FFFFFF"/>
              </w:rPr>
              <w:t>which is</w:t>
            </w:r>
            <w:r>
              <w:rPr>
                <w:rFonts w:ascii="Times New Roman" w:hAnsi="Times New Roman" w:cs="Times New Roman"/>
                <w:sz w:val="24"/>
                <w:szCs w:val="24"/>
                <w:shd w:val="clear" w:color="auto" w:fill="FFFFFF"/>
              </w:rPr>
              <w:t xml:space="preserve"> actively sustained by </w:t>
            </w:r>
            <w:r w:rsidR="00D00CBA">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political power of creditors over debtors</w:t>
            </w:r>
          </w:p>
        </w:tc>
      </w:tr>
      <w:tr w:rsidR="00EF6830" w:rsidTr="00EF6830">
        <w:tc>
          <w:tcPr>
            <w:tcW w:w="3116" w:type="dxa"/>
          </w:tcPr>
          <w:p w:rsidR="009B64C3" w:rsidRDefault="009B64C3" w:rsidP="002677C2">
            <w:pPr>
              <w:contextualSpacing/>
              <w:jc w:val="center"/>
              <w:rPr>
                <w:rFonts w:ascii="Times New Roman" w:hAnsi="Times New Roman" w:cs="Times New Roman"/>
                <w:sz w:val="24"/>
                <w:szCs w:val="24"/>
                <w:shd w:val="clear" w:color="auto" w:fill="FFFFFF"/>
              </w:rPr>
            </w:pPr>
          </w:p>
          <w:p w:rsidR="009B64C3" w:rsidRDefault="009B64C3" w:rsidP="002677C2">
            <w:pPr>
              <w:contextualSpacing/>
              <w:jc w:val="center"/>
              <w:rPr>
                <w:rFonts w:ascii="Times New Roman" w:hAnsi="Times New Roman" w:cs="Times New Roman"/>
                <w:sz w:val="24"/>
                <w:szCs w:val="24"/>
                <w:shd w:val="clear" w:color="auto" w:fill="FFFFFF"/>
              </w:rPr>
            </w:pPr>
          </w:p>
          <w:p w:rsidR="00EF6830" w:rsidRDefault="00E8526A" w:rsidP="002677C2">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Marxian</w:t>
            </w:r>
          </w:p>
        </w:tc>
        <w:tc>
          <w:tcPr>
            <w:tcW w:w="3117" w:type="dxa"/>
          </w:tcPr>
          <w:p w:rsidR="00B06DC1" w:rsidRDefault="00B06DC1" w:rsidP="002677C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Money is the commodity that has monopoly on the ability to buy, and it therefore </w:t>
            </w:r>
            <w:r w:rsidRPr="00890316">
              <w:rPr>
                <w:rFonts w:ascii="Times New Roman" w:hAnsi="Times New Roman" w:cs="Times New Roman"/>
                <w:sz w:val="24"/>
                <w:szCs w:val="24"/>
                <w:shd w:val="clear" w:color="auto" w:fill="FFFFFF"/>
              </w:rPr>
              <w:t xml:space="preserve">embodies economic and social power because </w:t>
            </w:r>
            <w:r>
              <w:rPr>
                <w:rFonts w:ascii="Times New Roman" w:hAnsi="Times New Roman" w:cs="Times New Roman"/>
                <w:sz w:val="24"/>
                <w:szCs w:val="24"/>
                <w:shd w:val="clear" w:color="auto" w:fill="FFFFFF"/>
              </w:rPr>
              <w:t>only money has the ability to buy</w:t>
            </w:r>
          </w:p>
        </w:tc>
        <w:tc>
          <w:tcPr>
            <w:tcW w:w="3117" w:type="dxa"/>
          </w:tcPr>
          <w:p w:rsidR="00EF6830" w:rsidRDefault="00131256" w:rsidP="002677C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dollar standard is </w:t>
            </w:r>
            <w:r w:rsidR="00D00CBA">
              <w:rPr>
                <w:rFonts w:ascii="Times New Roman" w:hAnsi="Times New Roman" w:cs="Times New Roman"/>
                <w:sz w:val="24"/>
                <w:szCs w:val="24"/>
                <w:shd w:val="clear" w:color="auto" w:fill="FFFFFF"/>
              </w:rPr>
              <w:t>mercantilist</w:t>
            </w:r>
            <w:r>
              <w:rPr>
                <w:rFonts w:ascii="Times New Roman" w:hAnsi="Times New Roman" w:cs="Times New Roman"/>
                <w:sz w:val="24"/>
                <w:szCs w:val="24"/>
                <w:shd w:val="clear" w:color="auto" w:fill="FFFFFF"/>
              </w:rPr>
              <w:t xml:space="preserve"> </w:t>
            </w:r>
            <w:r w:rsidR="0059492E">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it rests on economic and non-economic power asymmetries between the US and the rest of the world</w:t>
            </w:r>
          </w:p>
        </w:tc>
      </w:tr>
      <w:tr w:rsidR="00EF6830" w:rsidTr="00EF6830">
        <w:tc>
          <w:tcPr>
            <w:tcW w:w="3116" w:type="dxa"/>
          </w:tcPr>
          <w:p w:rsidR="009B64C3" w:rsidRDefault="009B64C3" w:rsidP="002677C2">
            <w:pPr>
              <w:contextualSpacing/>
              <w:jc w:val="center"/>
              <w:rPr>
                <w:rFonts w:ascii="Times New Roman" w:hAnsi="Times New Roman" w:cs="Times New Roman"/>
                <w:sz w:val="24"/>
                <w:szCs w:val="24"/>
                <w:shd w:val="clear" w:color="auto" w:fill="FFFFFF"/>
              </w:rPr>
            </w:pPr>
          </w:p>
          <w:p w:rsidR="009B64C3" w:rsidRDefault="009B64C3" w:rsidP="002677C2">
            <w:pPr>
              <w:contextualSpacing/>
              <w:jc w:val="center"/>
              <w:rPr>
                <w:rFonts w:ascii="Times New Roman" w:hAnsi="Times New Roman" w:cs="Times New Roman"/>
                <w:sz w:val="24"/>
                <w:szCs w:val="24"/>
                <w:shd w:val="clear" w:color="auto" w:fill="FFFFFF"/>
              </w:rPr>
            </w:pPr>
          </w:p>
          <w:p w:rsidR="00EF6830" w:rsidRDefault="00E8526A" w:rsidP="002677C2">
            <w:pPr>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Sociocultural</w:t>
            </w:r>
          </w:p>
        </w:tc>
        <w:tc>
          <w:tcPr>
            <w:tcW w:w="3117" w:type="dxa"/>
          </w:tcPr>
          <w:p w:rsidR="00EF6830" w:rsidRDefault="007235A6" w:rsidP="002677C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sidR="007966F7">
              <w:rPr>
                <w:rFonts w:ascii="Times New Roman" w:hAnsi="Times New Roman" w:cs="Times New Roman"/>
                <w:sz w:val="24"/>
                <w:szCs w:val="24"/>
                <w:shd w:val="clear" w:color="auto" w:fill="FFFFFF"/>
              </w:rPr>
              <w:t>oney is context-specific and embedded in social relations, as market actors “earmark” money for context-specific purposes</w:t>
            </w:r>
          </w:p>
        </w:tc>
        <w:tc>
          <w:tcPr>
            <w:tcW w:w="3117" w:type="dxa"/>
          </w:tcPr>
          <w:p w:rsidR="00EF6830" w:rsidRDefault="008C0D4E" w:rsidP="002677C2">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dollar standard is sustained by </w:t>
            </w:r>
            <w:r>
              <w:rPr>
                <w:rFonts w:ascii="Times New Roman" w:hAnsi="Times New Roman" w:cs="Times New Roman"/>
                <w:sz w:val="24"/>
                <w:szCs w:val="24"/>
              </w:rPr>
              <w:t>d</w:t>
            </w:r>
            <w:r w:rsidR="007966F7">
              <w:rPr>
                <w:rFonts w:ascii="Times New Roman" w:hAnsi="Times New Roman" w:cs="Times New Roman"/>
                <w:sz w:val="24"/>
                <w:szCs w:val="24"/>
              </w:rPr>
              <w:t>eveloping countr</w:t>
            </w:r>
            <w:r w:rsidR="0059492E">
              <w:rPr>
                <w:rFonts w:ascii="Times New Roman" w:hAnsi="Times New Roman" w:cs="Times New Roman"/>
                <w:sz w:val="24"/>
                <w:szCs w:val="24"/>
              </w:rPr>
              <w:t>ies</w:t>
            </w:r>
            <w:r w:rsidR="007966F7">
              <w:rPr>
                <w:rFonts w:ascii="Times New Roman" w:hAnsi="Times New Roman" w:cs="Times New Roman"/>
                <w:sz w:val="24"/>
                <w:szCs w:val="24"/>
              </w:rPr>
              <w:t xml:space="preserve"> “earmark</w:t>
            </w:r>
            <w:r>
              <w:rPr>
                <w:rFonts w:ascii="Times New Roman" w:hAnsi="Times New Roman" w:cs="Times New Roman"/>
                <w:sz w:val="24"/>
                <w:szCs w:val="24"/>
              </w:rPr>
              <w:t>ing</w:t>
            </w:r>
            <w:r w:rsidR="007966F7">
              <w:rPr>
                <w:rFonts w:ascii="Times New Roman" w:hAnsi="Times New Roman" w:cs="Times New Roman"/>
                <w:sz w:val="24"/>
                <w:szCs w:val="24"/>
              </w:rPr>
              <w:t>” dollar reserves</w:t>
            </w:r>
          </w:p>
        </w:tc>
      </w:tr>
    </w:tbl>
    <w:p w:rsidR="00EF6830" w:rsidRPr="00890316" w:rsidRDefault="00EF6830" w:rsidP="002677C2">
      <w:pPr>
        <w:spacing w:line="240" w:lineRule="auto"/>
        <w:contextualSpacing/>
        <w:rPr>
          <w:rFonts w:ascii="Times New Roman" w:hAnsi="Times New Roman" w:cs="Times New Roman"/>
          <w:sz w:val="24"/>
          <w:szCs w:val="24"/>
          <w:shd w:val="clear" w:color="auto" w:fill="FFFFFF"/>
        </w:rPr>
      </w:pPr>
    </w:p>
    <w:p w:rsidR="00947A07" w:rsidRDefault="00947A07"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dollar standard depends upon power relations and political arrangements at the domestic and international levels in both the US and developing countries. Therefore, there are three spaces that must be account</w:t>
      </w:r>
      <w:r w:rsidR="00E77018">
        <w:rPr>
          <w:rFonts w:ascii="Times New Roman" w:hAnsi="Times New Roman" w:cs="Times New Roman"/>
          <w:sz w:val="24"/>
          <w:szCs w:val="24"/>
          <w:shd w:val="clear" w:color="auto" w:fill="FFFFFF"/>
        </w:rPr>
        <w:t>ed</w:t>
      </w:r>
      <w:r>
        <w:rPr>
          <w:rFonts w:ascii="Times New Roman" w:hAnsi="Times New Roman" w:cs="Times New Roman"/>
          <w:sz w:val="24"/>
          <w:szCs w:val="24"/>
          <w:shd w:val="clear" w:color="auto" w:fill="FFFFFF"/>
        </w:rPr>
        <w:t xml:space="preserve"> for sociologically – (1) the US domestic implementation of the dollar standard, (2) multilateral adoption of the dollar standard, and (3) reinforcement of the dollar standard in developing countries. </w:t>
      </w:r>
      <w:r w:rsidR="00255240">
        <w:rPr>
          <w:rFonts w:ascii="Times New Roman" w:hAnsi="Times New Roman" w:cs="Times New Roman"/>
          <w:sz w:val="24"/>
          <w:szCs w:val="24"/>
          <w:shd w:val="clear" w:color="auto" w:fill="FFFFFF"/>
        </w:rPr>
        <w:t xml:space="preserve">The three sociology of money theories </w:t>
      </w:r>
      <w:r>
        <w:rPr>
          <w:rFonts w:ascii="Times New Roman" w:hAnsi="Times New Roman" w:cs="Times New Roman"/>
          <w:sz w:val="24"/>
          <w:szCs w:val="24"/>
          <w:shd w:val="clear" w:color="auto" w:fill="FFFFFF"/>
        </w:rPr>
        <w:t xml:space="preserve">address the social relations within each </w:t>
      </w:r>
      <w:r w:rsidR="00255240">
        <w:rPr>
          <w:rFonts w:ascii="Times New Roman" w:hAnsi="Times New Roman" w:cs="Times New Roman"/>
          <w:sz w:val="24"/>
          <w:szCs w:val="24"/>
          <w:shd w:val="clear" w:color="auto" w:fill="FFFFFF"/>
        </w:rPr>
        <w:t xml:space="preserve">of these </w:t>
      </w:r>
      <w:r>
        <w:rPr>
          <w:rFonts w:ascii="Times New Roman" w:hAnsi="Times New Roman" w:cs="Times New Roman"/>
          <w:sz w:val="24"/>
          <w:szCs w:val="24"/>
          <w:shd w:val="clear" w:color="auto" w:fill="FFFFFF"/>
        </w:rPr>
        <w:t>space</w:t>
      </w:r>
      <w:r w:rsidR="0025524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w:t>
      </w:r>
    </w:p>
    <w:p w:rsidR="00947A07" w:rsidRDefault="00947A07"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theoretical account that emerges is that at the domestic level in the US, </w:t>
      </w:r>
      <w:r w:rsidR="00D53C37">
        <w:rPr>
          <w:rFonts w:ascii="Times New Roman" w:hAnsi="Times New Roman" w:cs="Times New Roman"/>
          <w:sz w:val="24"/>
          <w:szCs w:val="24"/>
          <w:shd w:val="clear" w:color="auto" w:fill="FFFFFF"/>
        </w:rPr>
        <w:t>the dollar standard must be actively sustained with a low-inflation environment which is dependent upon creditors having political power over debtors.</w:t>
      </w:r>
      <w:r w:rsidR="00255240">
        <w:rPr>
          <w:rFonts w:ascii="Times New Roman" w:hAnsi="Times New Roman" w:cs="Times New Roman"/>
          <w:sz w:val="24"/>
          <w:szCs w:val="24"/>
          <w:shd w:val="clear" w:color="auto" w:fill="FFFFFF"/>
        </w:rPr>
        <w:t xml:space="preserve"> At the international level, the US dollar standard </w:t>
      </w:r>
      <w:r w:rsidR="0059492E">
        <w:rPr>
          <w:rFonts w:ascii="Times New Roman" w:hAnsi="Times New Roman" w:cs="Times New Roman"/>
          <w:sz w:val="24"/>
          <w:szCs w:val="24"/>
          <w:shd w:val="clear" w:color="auto" w:fill="FFFFFF"/>
        </w:rPr>
        <w:t xml:space="preserve">enriches the US at the expense of other countries and it </w:t>
      </w:r>
      <w:r w:rsidR="00255240">
        <w:rPr>
          <w:rFonts w:ascii="Times New Roman" w:hAnsi="Times New Roman" w:cs="Times New Roman"/>
          <w:sz w:val="24"/>
          <w:szCs w:val="24"/>
          <w:shd w:val="clear" w:color="auto" w:fill="FFFFFF"/>
        </w:rPr>
        <w:t>depends on power asymmetries between the US and the rest of the world</w:t>
      </w:r>
      <w:r w:rsidR="0059492E">
        <w:rPr>
          <w:rFonts w:ascii="Times New Roman" w:hAnsi="Times New Roman" w:cs="Times New Roman"/>
          <w:sz w:val="24"/>
          <w:szCs w:val="24"/>
          <w:shd w:val="clear" w:color="auto" w:fill="FFFFFF"/>
        </w:rPr>
        <w:t>. Within developing countries, the dollar standard is maintained by official and private dollar reserve accumulation “earmarking” processes. This synthesis explains the social and political drivers of the US trade deficit inasmuch as the dollar standard enables the trade deficit. The following section tests this approach using a historical sociological account of the emergence of the dollar standard and concomitant US trade deficits.</w:t>
      </w:r>
      <w:r w:rsidR="00B01C08" w:rsidRPr="00890316">
        <w:rPr>
          <w:rFonts w:ascii="Times New Roman" w:hAnsi="Times New Roman" w:cs="Times New Roman"/>
          <w:sz w:val="24"/>
          <w:szCs w:val="24"/>
          <w:shd w:val="clear" w:color="auto" w:fill="FFFFFF"/>
        </w:rPr>
        <w:t xml:space="preserve"> </w:t>
      </w:r>
    </w:p>
    <w:p w:rsidR="00F77B49" w:rsidRPr="00890316" w:rsidRDefault="00F77B49" w:rsidP="002677C2">
      <w:pPr>
        <w:spacing w:line="240" w:lineRule="auto"/>
        <w:contextualSpacing/>
        <w:rPr>
          <w:rFonts w:ascii="Times New Roman" w:hAnsi="Times New Roman" w:cs="Times New Roman"/>
          <w:sz w:val="24"/>
          <w:szCs w:val="24"/>
        </w:rPr>
      </w:pPr>
    </w:p>
    <w:p w:rsidR="00F77B49" w:rsidRPr="00890316" w:rsidRDefault="00D75403" w:rsidP="002677C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w:t>
      </w:r>
      <w:r w:rsidR="00F77B49" w:rsidRPr="00890316">
        <w:rPr>
          <w:rFonts w:ascii="Times New Roman" w:hAnsi="Times New Roman" w:cs="Times New Roman"/>
          <w:b/>
          <w:sz w:val="24"/>
          <w:szCs w:val="24"/>
        </w:rPr>
        <w:t xml:space="preserve">V. The Historical Emergence of the </w:t>
      </w:r>
      <w:r w:rsidR="000014D7">
        <w:rPr>
          <w:rFonts w:ascii="Times New Roman" w:hAnsi="Times New Roman" w:cs="Times New Roman"/>
          <w:b/>
          <w:sz w:val="24"/>
          <w:szCs w:val="24"/>
        </w:rPr>
        <w:t>US</w:t>
      </w:r>
      <w:r w:rsidR="00F77B49" w:rsidRPr="00890316">
        <w:rPr>
          <w:rFonts w:ascii="Times New Roman" w:hAnsi="Times New Roman" w:cs="Times New Roman"/>
          <w:b/>
          <w:sz w:val="24"/>
          <w:szCs w:val="24"/>
        </w:rPr>
        <w:t xml:space="preserve"> Trade Deficit</w:t>
      </w:r>
    </w:p>
    <w:p w:rsidR="00F77B49" w:rsidRPr="00890316" w:rsidRDefault="00F77B49" w:rsidP="002677C2">
      <w:pPr>
        <w:spacing w:line="240" w:lineRule="auto"/>
        <w:contextualSpacing/>
        <w:rPr>
          <w:rFonts w:ascii="Times New Roman" w:hAnsi="Times New Roman" w:cs="Times New Roman"/>
          <w:i/>
          <w:sz w:val="24"/>
          <w:szCs w:val="24"/>
        </w:rPr>
      </w:pPr>
      <w:r w:rsidRPr="00890316">
        <w:rPr>
          <w:rFonts w:ascii="Times New Roman" w:hAnsi="Times New Roman" w:cs="Times New Roman"/>
          <w:i/>
          <w:sz w:val="24"/>
          <w:szCs w:val="24"/>
        </w:rPr>
        <w:t>The Bretton Woods System Produced Tiny Trade Imbalances</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Following WWII,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and European world leaders met at Bretton Woods to construct multilateral organizations to address international political economy as a root cause of war. They established the International Monetary Fund, the International Bank for Reconstruction and Development (precursor to the World Bank), and the General Agreement on Tariffs and Trade (precursor to the World Trade Organization), to coordinate an international monetary and </w:t>
      </w:r>
      <w:r w:rsidRPr="00890316">
        <w:rPr>
          <w:rFonts w:ascii="Times New Roman" w:hAnsi="Times New Roman" w:cs="Times New Roman"/>
          <w:sz w:val="24"/>
          <w:szCs w:val="24"/>
        </w:rPr>
        <w:lastRenderedPageBreak/>
        <w:t xml:space="preserve">financial system, finance reconstruction and development, and promote trade and investment. At the insistence of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the Bretton Woods Accord established an international monetary system that placed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dollar at the center of a fixed exchange rate system, in which all major countries pegged their currencies to the dollar and the dollar was convertible to gold at $35 an ounce. This established the dollar as world reserve currency as all countries stated and defended their fixed exchange rates in dollars. The dollar standard was sustained by a common recognition that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had the deepest and most liquid financial markets. In addition, all major commodities and international debts would be denominated in dollars, establishing an international settlements system based on the dollar.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Fixed exchange rates and the dollar’s tie to gold imposed a restraint on inflation and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balance of payments because any instabilities or imbalances would lead to depletion of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gold stock. Under the Dollar-Gold fixed exchange rates, persistent trade imbalances would have led to gold outflows and depletion of national wealth. Figure Four shows that trade imbalances were minuscule and throughout the 1960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ran small trade surpluses.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maintained these surpluses until 1971, which was the end of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dollar-gold fixed exchange rate.</w:t>
      </w:r>
    </w:p>
    <w:p w:rsidR="00F77B49" w:rsidRPr="00890316" w:rsidRDefault="00F77B49" w:rsidP="002677C2">
      <w:pPr>
        <w:spacing w:line="240" w:lineRule="auto"/>
        <w:ind w:firstLine="720"/>
        <w:contextualSpacing/>
        <w:rPr>
          <w:rFonts w:ascii="Times New Roman" w:hAnsi="Times New Roman" w:cs="Times New Roman"/>
          <w:sz w:val="24"/>
          <w:szCs w:val="24"/>
        </w:rPr>
      </w:pPr>
    </w:p>
    <w:p w:rsidR="00F77B49" w:rsidRPr="00890316" w:rsidRDefault="00F77B49" w:rsidP="002677C2">
      <w:pPr>
        <w:spacing w:line="240" w:lineRule="auto"/>
        <w:contextualSpacing/>
        <w:rPr>
          <w:rFonts w:ascii="Times New Roman" w:hAnsi="Times New Roman" w:cs="Times New Roman"/>
          <w:sz w:val="24"/>
          <w:szCs w:val="24"/>
        </w:rPr>
      </w:pPr>
      <w:r w:rsidRPr="00890316">
        <w:rPr>
          <w:rFonts w:ascii="Times New Roman" w:hAnsi="Times New Roman" w:cs="Times New Roman"/>
          <w:sz w:val="24"/>
          <w:szCs w:val="24"/>
        </w:rPr>
        <w:t xml:space="preserve">Figure Four: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Trade Balance</w:t>
      </w:r>
    </w:p>
    <w:p w:rsidR="00F77B49" w:rsidRPr="00890316" w:rsidRDefault="00F77B49" w:rsidP="002677C2">
      <w:pPr>
        <w:spacing w:line="240" w:lineRule="auto"/>
        <w:contextualSpacing/>
        <w:rPr>
          <w:rFonts w:ascii="Times New Roman" w:hAnsi="Times New Roman" w:cs="Times New Roman"/>
          <w:sz w:val="24"/>
          <w:szCs w:val="24"/>
        </w:rPr>
      </w:pPr>
      <w:r w:rsidRPr="00890316">
        <w:rPr>
          <w:rFonts w:ascii="Times New Roman" w:hAnsi="Times New Roman" w:cs="Times New Roman"/>
          <w:noProof/>
          <w:sz w:val="24"/>
          <w:szCs w:val="24"/>
        </w:rPr>
        <w:drawing>
          <wp:inline distT="0" distB="0" distL="0" distR="0" wp14:anchorId="4A3D4BA4" wp14:editId="2C8BA8F9">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7B49" w:rsidRPr="00890316" w:rsidRDefault="00F77B49" w:rsidP="002677C2">
      <w:pPr>
        <w:spacing w:line="240" w:lineRule="auto"/>
        <w:contextualSpacing/>
        <w:rPr>
          <w:rFonts w:ascii="Times New Roman" w:hAnsi="Times New Roman" w:cs="Times New Roman"/>
          <w:i/>
          <w:sz w:val="24"/>
          <w:szCs w:val="24"/>
        </w:rPr>
      </w:pPr>
      <w:r w:rsidRPr="00890316">
        <w:rPr>
          <w:rFonts w:ascii="Times New Roman" w:hAnsi="Times New Roman" w:cs="Times New Roman"/>
          <w:i/>
          <w:sz w:val="24"/>
          <w:szCs w:val="24"/>
        </w:rPr>
        <w:t xml:space="preserve">The Internationalization of </w:t>
      </w:r>
      <w:r w:rsidR="000014D7">
        <w:rPr>
          <w:rFonts w:ascii="Times New Roman" w:hAnsi="Times New Roman" w:cs="Times New Roman"/>
          <w:i/>
          <w:sz w:val="24"/>
          <w:szCs w:val="24"/>
        </w:rPr>
        <w:t>US</w:t>
      </w:r>
      <w:r w:rsidRPr="00890316">
        <w:rPr>
          <w:rFonts w:ascii="Times New Roman" w:hAnsi="Times New Roman" w:cs="Times New Roman"/>
          <w:i/>
          <w:sz w:val="24"/>
          <w:szCs w:val="24"/>
        </w:rPr>
        <w:t xml:space="preserve"> Dollar-Denominated Financial Markets</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Until the 1960s,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dollar standard and the Bretton Woods institutions facilitated strong economic growth in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and the development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financial markets, the reconstruction of Europe and Japan, and increasing financial integration between the global north and the global south. Domestically, the financial bull market through the 1950s led the growth and evolution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financial markets, even while still operating within the framework of the New Deal regulations; internationally,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political and military expenditures in the Marshall Plan and Korean War supplied dollars for development in </w:t>
      </w:r>
      <w:r w:rsidR="00AE6E51">
        <w:rPr>
          <w:rFonts w:ascii="Times New Roman" w:hAnsi="Times New Roman" w:cs="Times New Roman"/>
          <w:sz w:val="24"/>
          <w:szCs w:val="24"/>
        </w:rPr>
        <w:t xml:space="preserve">Western </w:t>
      </w:r>
      <w:r w:rsidRPr="00890316">
        <w:rPr>
          <w:rFonts w:ascii="Times New Roman" w:hAnsi="Times New Roman" w:cs="Times New Roman"/>
          <w:sz w:val="24"/>
          <w:szCs w:val="24"/>
        </w:rPr>
        <w:t>Europe and Japan (</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These post-war economic booms in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and Europe led the development and internationalization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financial markets. </w:t>
      </w:r>
    </w:p>
    <w:p w:rsidR="00F77B49" w:rsidRPr="00890316" w:rsidRDefault="000014D7"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US</w:t>
      </w:r>
      <w:r w:rsidR="00F77B49" w:rsidRPr="00890316">
        <w:rPr>
          <w:rFonts w:ascii="Times New Roman" w:hAnsi="Times New Roman" w:cs="Times New Roman"/>
          <w:sz w:val="24"/>
          <w:szCs w:val="24"/>
        </w:rPr>
        <w:t xml:space="preserve"> financial institutions provided loans for rapidly expanding industry throughout the country while integrating working classes into the financial system through state-backed mortgage securities, consumer loans, and tens of thousands of union-negotiated health insurance </w:t>
      </w:r>
      <w:r w:rsidR="00F77B49" w:rsidRPr="00890316">
        <w:rPr>
          <w:rFonts w:ascii="Times New Roman" w:hAnsi="Times New Roman" w:cs="Times New Roman"/>
          <w:sz w:val="24"/>
          <w:szCs w:val="24"/>
        </w:rPr>
        <w:lastRenderedPageBreak/>
        <w:t xml:space="preserve">and pension plans. Although interest rates were low during this period, the rising volume of loans made banking highly profitable. </w:t>
      </w:r>
      <w:r>
        <w:rPr>
          <w:rFonts w:ascii="Times New Roman" w:hAnsi="Times New Roman" w:cs="Times New Roman"/>
          <w:sz w:val="24"/>
          <w:szCs w:val="24"/>
        </w:rPr>
        <w:t>US</w:t>
      </w:r>
      <w:r w:rsidR="00F77B49" w:rsidRPr="00890316">
        <w:rPr>
          <w:rFonts w:ascii="Times New Roman" w:hAnsi="Times New Roman" w:cs="Times New Roman"/>
          <w:sz w:val="24"/>
          <w:szCs w:val="24"/>
        </w:rPr>
        <w:t xml:space="preserve"> domestic financial markets continued to grow throughout the 1960s amid a wave of takeovers and mergers in addition to growing financial innovation, such as the certificate of deposit which was then the foundation for the securitization of commercial banking. The number of local branches of large national banks grew from 5,296 in 1960 to 12,366 in 1970 (</w:t>
      </w:r>
      <w:proofErr w:type="spellStart"/>
      <w:r w:rsidR="00F77B49" w:rsidRPr="00890316">
        <w:rPr>
          <w:rFonts w:ascii="Times New Roman" w:hAnsi="Times New Roman" w:cs="Times New Roman"/>
          <w:sz w:val="24"/>
          <w:szCs w:val="24"/>
        </w:rPr>
        <w:t>Gindin</w:t>
      </w:r>
      <w:proofErr w:type="spellEnd"/>
      <w:r w:rsidR="00F77B49" w:rsidRPr="00890316">
        <w:rPr>
          <w:rFonts w:ascii="Times New Roman" w:hAnsi="Times New Roman" w:cs="Times New Roman"/>
          <w:sz w:val="24"/>
          <w:szCs w:val="24"/>
        </w:rPr>
        <w:t xml:space="preserve"> &amp; Panitch 2012: 121). This growth and sophistication of </w:t>
      </w:r>
      <w:r>
        <w:rPr>
          <w:rFonts w:ascii="Times New Roman" w:hAnsi="Times New Roman" w:cs="Times New Roman"/>
          <w:sz w:val="24"/>
          <w:szCs w:val="24"/>
        </w:rPr>
        <w:t>US</w:t>
      </w:r>
      <w:r w:rsidR="00F77B49" w:rsidRPr="00890316">
        <w:rPr>
          <w:rFonts w:ascii="Times New Roman" w:hAnsi="Times New Roman" w:cs="Times New Roman"/>
          <w:sz w:val="24"/>
          <w:szCs w:val="24"/>
        </w:rPr>
        <w:t xml:space="preserve"> financial markets supported the internationalization of </w:t>
      </w:r>
      <w:r>
        <w:rPr>
          <w:rFonts w:ascii="Times New Roman" w:hAnsi="Times New Roman" w:cs="Times New Roman"/>
          <w:sz w:val="24"/>
          <w:szCs w:val="24"/>
        </w:rPr>
        <w:t>US</w:t>
      </w:r>
      <w:r w:rsidR="00F77B49" w:rsidRPr="00890316">
        <w:rPr>
          <w:rFonts w:ascii="Times New Roman" w:hAnsi="Times New Roman" w:cs="Times New Roman"/>
          <w:sz w:val="24"/>
          <w:szCs w:val="24"/>
        </w:rPr>
        <w:t xml:space="preserve"> finance.</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Throughout the 1950s and 60s,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financial markets internationalized with the growth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public and private capital in Europe. The Marshall Plan consisted of significant funding aid to Europe, particular West Germany, to the ends of rebuilding Europe and containing communism. From 1948-50, the Marshall Plan accounted for approximately 15 percent of total gross domestic capital formation in the UK, Italy, and France, and for Germany it was over 25 percent (</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96). As growth proceeded in Europe,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foreign direct investment (FDI) in Europe took off.  Between 1955 and 1965,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manufacturing FDI in Europe had tripled, which was two-and-half times greater than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manufacturing FDI to the rest of the world (</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114). As trade follows investment, by 1970 nearly three-fourths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exports and over half of imports were intra-firm transactions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multinational corporations (MNCs) (Bluestone &amp; Bennett 1982: 117). As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manufacturing internationalized so did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financial services.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By 1960 there were 131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bank branches in Europe whose offshore services were not subject to New Deal regulations (</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118).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banks in London exploited an accounting loophole in the exchange control regulations of Bretton Woods to create an unregulated international market for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dollars (Ingham 2004: 155-6). London’s “Eurodollar” market held $3 billion in deposits by the early 1960s, and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banks were the nine most active in these markets (</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118). In 1963 the Eurobond market was established, and Eurodollar bond issues rapidly rose from $148 million in 1963 to $2.7 billion in 1970 (</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118). The growth and centrality of Eurodollar and Eurobond markets made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dollar-denominated financial markets far and away the most liquid and deep of all global markets. </w:t>
      </w:r>
    </w:p>
    <w:p w:rsidR="00AE6E51"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securities market was central to the operations of global finance. A 1951 Accord between the Federal Reserve and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institutionalized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banks as the primary dealers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bills. In turn,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banks increasingly placed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bills with foreign investors. Between 1955 and 1962,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bonds held in Europe were 1.5 times the value of all Europe’s sovereign bonds combined (</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119).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This reflected two developments, (1) that countries used the dollar as reserve currency to defend fixed exchange rates, and (2) the role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bills as the most quality debt in international money markets. However, as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capital markets internationalized, it put pressure on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official gold supply and the architecture of Bretton Woods.</w:t>
      </w:r>
    </w:p>
    <w:p w:rsidR="00F77B49" w:rsidRPr="00890316" w:rsidRDefault="00F77B49" w:rsidP="002677C2">
      <w:pPr>
        <w:spacing w:line="240" w:lineRule="auto"/>
        <w:ind w:firstLine="720"/>
        <w:contextualSpacing/>
        <w:rPr>
          <w:rFonts w:ascii="Times New Roman" w:hAnsi="Times New Roman" w:cs="Times New Roman"/>
          <w:sz w:val="24"/>
          <w:szCs w:val="24"/>
        </w:rPr>
      </w:pPr>
    </w:p>
    <w:p w:rsidR="00F77B49" w:rsidRPr="00890316" w:rsidRDefault="00F77B49" w:rsidP="002677C2">
      <w:pPr>
        <w:spacing w:line="240" w:lineRule="auto"/>
        <w:contextualSpacing/>
        <w:rPr>
          <w:rFonts w:ascii="Times New Roman" w:hAnsi="Times New Roman" w:cs="Times New Roman"/>
          <w:i/>
          <w:sz w:val="24"/>
          <w:szCs w:val="24"/>
        </w:rPr>
      </w:pPr>
      <w:r w:rsidRPr="00890316">
        <w:rPr>
          <w:rFonts w:ascii="Times New Roman" w:hAnsi="Times New Roman" w:cs="Times New Roman"/>
          <w:i/>
          <w:sz w:val="24"/>
          <w:szCs w:val="24"/>
        </w:rPr>
        <w:t>Crisis of Bretton Woods</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Economist Robert Triffin first formalized the structural instability of the Bretton Woods international monetary system in 1959. Triffin testified to Congress that the growth of world trade and capital were outstripping the growth of the world’s gold supply, which would inevitably lead to a crisis of confidence in the dollar and in turn the Bretton Woods monetary system (Triffin 1978). Throughout the 1950s,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was running relatively small balance of </w:t>
      </w:r>
      <w:r w:rsidRPr="00890316">
        <w:rPr>
          <w:rFonts w:ascii="Times New Roman" w:hAnsi="Times New Roman" w:cs="Times New Roman"/>
          <w:sz w:val="24"/>
          <w:szCs w:val="24"/>
        </w:rPr>
        <w:lastRenderedPageBreak/>
        <w:t xml:space="preserve">payments deficits, meaning more capital was leaving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than entering. Triffin cogently argued that this condition was unsustainable for Bretton Woods fixed exchange rates,</w:t>
      </w:r>
    </w:p>
    <w:p w:rsidR="00F77B49" w:rsidRPr="00890316" w:rsidRDefault="00F77B49" w:rsidP="002677C2">
      <w:pPr>
        <w:spacing w:line="240" w:lineRule="auto"/>
        <w:ind w:left="720" w:right="720"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“…if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corrected its persistent balance of payments deficits, the growth of world reserves could not be fed adequately by gold production at $35 an ounce, but that if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continued to run deficits, its foreign liabilities would inevitably come to exceed by far its ability to convert dollars into gold upon demand and would bring about a ‘gold and dollar crisis’” (Triffin 1978: 3).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The persistent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balance of payments deficits resulted in the buildup of dollar reserves in Europe and Japan’s central banks, and some European countries were gradually redeeming dollars for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gold (IMF 2016). The Kennedy administration made the initial attempts to offset capital outflows with a mix of policies, including, increasing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trade surplus, capital controls, and import taxes (Hudson 2003: 30). However, none of the efforts addressed the underlying dynamics driving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balance of payments deficits and by the mid-1960s Triffin’s prophesy was materializing.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Paul Volcker, Undersecretary of the Treasury, led a research and policy group on the crisis of the international monetary system. On June 23, 1969, the Volcker Groups issued a confidential memo to President Nixon presenting the situation and a range of policy options. While the balance of payments deficit had multiple determinations, the Volcker Group identified trends towards budget and trade deficits as two fundamental drivers.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budget deficit was growing to cover not only domestic policy but also Cold War military and political operations abroad, notably the war in Vietnam.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was moving from trade surpluses to deficits due to domestic inflation and growing industrial competition (Volcker Group 1969: 18). In addition,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outward FDI was greater than inward FDI, further straining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balance of payments (Volcker Group 1969: 17).</w:t>
      </w:r>
    </w:p>
    <w:p w:rsidR="00AE6E51" w:rsidRDefault="000014D7"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US</w:t>
      </w:r>
      <w:r w:rsidR="00F77B49" w:rsidRPr="00890316">
        <w:rPr>
          <w:rFonts w:ascii="Times New Roman" w:hAnsi="Times New Roman" w:cs="Times New Roman"/>
          <w:sz w:val="24"/>
          <w:szCs w:val="24"/>
        </w:rPr>
        <w:t xml:space="preserve"> balance of payments deficits threatened the </w:t>
      </w:r>
      <w:r>
        <w:rPr>
          <w:rFonts w:ascii="Times New Roman" w:hAnsi="Times New Roman" w:cs="Times New Roman"/>
          <w:sz w:val="24"/>
          <w:szCs w:val="24"/>
        </w:rPr>
        <w:t>US</w:t>
      </w:r>
      <w:r w:rsidR="00F77B49" w:rsidRPr="00890316">
        <w:rPr>
          <w:rFonts w:ascii="Times New Roman" w:hAnsi="Times New Roman" w:cs="Times New Roman"/>
          <w:sz w:val="24"/>
          <w:szCs w:val="24"/>
        </w:rPr>
        <w:t xml:space="preserve">’s ability to maintain gold convertibility, leading to loss of confidence in the dollar. By 1966, foreign official dollar reserves were over $14 billion, but the </w:t>
      </w:r>
      <w:r>
        <w:rPr>
          <w:rFonts w:ascii="Times New Roman" w:hAnsi="Times New Roman" w:cs="Times New Roman"/>
          <w:sz w:val="24"/>
          <w:szCs w:val="24"/>
        </w:rPr>
        <w:t>US</w:t>
      </w:r>
      <w:r w:rsidR="00F77B49" w:rsidRPr="00890316">
        <w:rPr>
          <w:rFonts w:ascii="Times New Roman" w:hAnsi="Times New Roman" w:cs="Times New Roman"/>
          <w:sz w:val="24"/>
          <w:szCs w:val="24"/>
        </w:rPr>
        <w:t xml:space="preserve"> only had $13.2 billion in gold reserves, and only $3.2 billion of that was available to cover foreign dollar holdings, as the rest was needed to cover domestic holdings (IMF 2016).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World leaders and the international financial community feared that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would either devalue the dollar, which would cause worldwide deflation and social and political instability, or stop redeeming gold for dollars, which would permit inflationary pressures to undermine confidence in the dollar and lead to social and political instability. The Volcker Group mulled three alternatives: </w:t>
      </w:r>
    </w:p>
    <w:p w:rsidR="00F77B49" w:rsidRPr="00890316" w:rsidRDefault="00F77B49" w:rsidP="002677C2">
      <w:pPr>
        <w:spacing w:line="240" w:lineRule="auto"/>
        <w:ind w:left="720" w:right="720" w:firstLine="720"/>
        <w:contextualSpacing/>
        <w:rPr>
          <w:rFonts w:ascii="Times New Roman" w:hAnsi="Times New Roman" w:cs="Times New Roman"/>
          <w:sz w:val="24"/>
          <w:szCs w:val="24"/>
        </w:rPr>
      </w:pPr>
      <w:r w:rsidRPr="00890316">
        <w:rPr>
          <w:rFonts w:ascii="Times New Roman" w:hAnsi="Times New Roman" w:cs="Times New Roman"/>
          <w:sz w:val="24"/>
          <w:szCs w:val="24"/>
        </w:rPr>
        <w:t>“…(a) a series of multilateral negotiations pointing toward a fundamental, but ‘evolutionary’ change in the existing system; (b) suspension of the present United States policy of providing for the conversion of dollars held by foreign monetary authorities at their discretion; and (c) a change, large or small, in the official price of gold” (Volcker Group 1969: 22).</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The Volcker Group established that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had to attract capital inflows to achieve an equal balance of payments, and without an equal balance of payments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would face severe consequences in its ability to borrow in the future and it would undermine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negotiating strength. In addition to achieving an equal balance of payments,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had to contain domestic inflation to preserve the international role of the dollar. The Volcker Group stipulated, “For both the period immediately ahead and the medium-term future, the dominant factor affecting the </w:t>
      </w:r>
      <w:r w:rsidRPr="00890316">
        <w:rPr>
          <w:rFonts w:ascii="Times New Roman" w:hAnsi="Times New Roman" w:cs="Times New Roman"/>
          <w:sz w:val="24"/>
          <w:szCs w:val="24"/>
        </w:rPr>
        <w:lastRenderedPageBreak/>
        <w:t>evolution of the international monetary system (and our success in guiding that evolution) will be our ability to contain domestic inflationary forces” (1969: 19).</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Two years later, an internal memo among the Nixon administration’s high-level staff revealed that their objective was to “reassert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leadership of international economic and trade policy” (McCracken 1971:7). The memo outlined that “great market strength” for the dollar and globally competitive industries were “indispensable” conditions for international political leadership (McCracken 1971:7). To achieve both of these objectives the Nixon administration first negotiated the international financing of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deficits, and then negotiated a revaluation of the currencies of surplus countries. </w:t>
      </w:r>
    </w:p>
    <w:p w:rsidR="00F77B49" w:rsidRPr="00890316" w:rsidRDefault="00F77B49" w:rsidP="002677C2">
      <w:pPr>
        <w:spacing w:line="240" w:lineRule="auto"/>
        <w:contextualSpacing/>
        <w:rPr>
          <w:rFonts w:ascii="Times New Roman" w:hAnsi="Times New Roman" w:cs="Times New Roman"/>
          <w:sz w:val="24"/>
          <w:szCs w:val="24"/>
        </w:rPr>
      </w:pPr>
    </w:p>
    <w:p w:rsidR="00F77B49" w:rsidRPr="00890316" w:rsidRDefault="00F77B49" w:rsidP="002677C2">
      <w:pPr>
        <w:spacing w:line="240" w:lineRule="auto"/>
        <w:contextualSpacing/>
        <w:rPr>
          <w:rFonts w:ascii="Times New Roman" w:hAnsi="Times New Roman" w:cs="Times New Roman"/>
          <w:i/>
          <w:sz w:val="24"/>
          <w:szCs w:val="24"/>
        </w:rPr>
      </w:pPr>
      <w:r w:rsidRPr="00890316">
        <w:rPr>
          <w:rFonts w:ascii="Times New Roman" w:hAnsi="Times New Roman" w:cs="Times New Roman"/>
          <w:i/>
          <w:sz w:val="24"/>
          <w:szCs w:val="24"/>
        </w:rPr>
        <w:t xml:space="preserve">The </w:t>
      </w:r>
      <w:r w:rsidR="000014D7">
        <w:rPr>
          <w:rFonts w:ascii="Times New Roman" w:hAnsi="Times New Roman" w:cs="Times New Roman"/>
          <w:i/>
          <w:sz w:val="24"/>
          <w:szCs w:val="24"/>
        </w:rPr>
        <w:t>US</w:t>
      </w:r>
      <w:r w:rsidRPr="00890316">
        <w:rPr>
          <w:rFonts w:ascii="Times New Roman" w:hAnsi="Times New Roman" w:cs="Times New Roman"/>
          <w:i/>
          <w:sz w:val="24"/>
          <w:szCs w:val="24"/>
        </w:rPr>
        <w:t xml:space="preserve"> “Power Play”</w:t>
      </w:r>
      <w:r w:rsidRPr="00890316">
        <w:rPr>
          <w:rFonts w:ascii="Times New Roman" w:hAnsi="Times New Roman" w:cs="Times New Roman"/>
          <w:sz w:val="24"/>
          <w:szCs w:val="24"/>
        </w:rPr>
        <w:t xml:space="preserve">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While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maintained the formal posture of dollar-gold convertibility, conversions in the late 1960s were relatively small. The Treasury had made various political agreements with Canada, Western European countries, and Japan such that they would invest their surpluses in Treasury bills instead of gold (Hudson 2003: 264-5). German authorities wrote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that they would not present dollars for gold, but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feared their intentions could be fickle (Volcker Group 1969: 29). According to the president of Germany’s central bank, in 1971,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“implicitly” threatened to withdraw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troops from West Germany if the German central bank did not renounce the rights to convert dollars into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gold (cited in Hudson 2003: 288).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had also informally discouraged Japan, the United Kingdom and others from acquiring gold.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Gold was already a declining share of world monetary reserves by the late 1960s. Gold made up about 51 percent ($38.9 billion) of total global reserves in 1968, compared to 63 percent in 1960 (Volcker Group 1969: 5). Without a multilateral agreement to increase the price of gold, world reserve growth was dependent upon dollar expansion (thus financing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deficits) or the creation of “reserve credits” through crisis financing by the IMF, which was highly limited. In this context, dollars had been increasing replacing gold as means of payment, the Volcker Group noted, “During 1960-68, the rise in liquid and non-liquid official dollar holdings was $8.0 billion, and financed 58 percent of the cumulative official settlements deficits” (1969: 5). From a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perspective, an international settlements system based on the dollar would finance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balance of payments deficits.</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The Volcker Group predicted, “Outright suspension of the gold convertibility of the dollar for foreign monetary authorities could either be forced upon us by events or could be taken as a deliberate considered action” (1969: 29). The memo detailed that the main objective in ending dollar-gold convertibility was to strengthen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negotiating position because it would present surplus countries with “essentially unpalatable alternatives.” Surplus countries would have to either </w:t>
      </w:r>
      <w:r w:rsidRPr="00890316">
        <w:rPr>
          <w:rFonts w:ascii="Times New Roman" w:hAnsi="Times New Roman" w:cs="Times New Roman"/>
          <w:b/>
          <w:sz w:val="24"/>
          <w:szCs w:val="24"/>
        </w:rPr>
        <w:t>“</w:t>
      </w:r>
      <w:r w:rsidRPr="00890316">
        <w:rPr>
          <w:rFonts w:ascii="Times New Roman" w:hAnsi="Times New Roman" w:cs="Times New Roman"/>
          <w:sz w:val="24"/>
          <w:szCs w:val="24"/>
        </w:rPr>
        <w:t xml:space="preserve">passively hold dollars or permit a gradual appreciation of their currencies” (1969: 38). That is, if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closed the gold window and surplus countries chose not to hold dollar assets then they would devalue the dollar. This would provide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exporters with a competitive devaluation while reducing the value of the massive dollar assets held by surplus countries. If surplus countries did not sell their dollar assets then they would have to hold them to maintain their exchange rates. Therefore, the Volcker Group endorsed suspending dollar-gold convertibility, although they warned that the rest of the world would perceive it to be a unilateral “power play.” They surmised policy options from surplus countries in response, </w:t>
      </w:r>
    </w:p>
    <w:p w:rsidR="00F77B49" w:rsidRPr="00890316" w:rsidRDefault="00F77B49" w:rsidP="002677C2">
      <w:pPr>
        <w:spacing w:line="240" w:lineRule="auto"/>
        <w:ind w:left="720" w:right="720"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“…it seems likely that a large number of our close trading partners and less developed countries would prefer [holding dollars], so long as the United </w:t>
      </w:r>
      <w:r w:rsidRPr="00890316">
        <w:rPr>
          <w:rFonts w:ascii="Times New Roman" w:hAnsi="Times New Roman" w:cs="Times New Roman"/>
          <w:sz w:val="24"/>
          <w:szCs w:val="24"/>
        </w:rPr>
        <w:lastRenderedPageBreak/>
        <w:t xml:space="preserve">States retained reasonable price stability and our basic competitive position did not deteriorate markedly. The result would be an informal ‘dollar bloc’ in which countries heavily dependent on trade and/or financial relations with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would ‘tie’ their currencies to the dollar” (1969: 38).</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Closing the gold window would solidify the dollar’s role as means of payment in international settlements, which would effectively secure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a substantial degree of flexibility in financing future balance of payments deficits and cement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leadership in international monetary affairs. However, this was dependent upon controlling the domestic inflationary pressures on the dollar (Volcker Group 1969: 33). The inflationary domestic conditions of the 1960s and 70s undermined investor confidence in the dollar, which in turn threatened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government’s credibility vis-à-vis surplus countries holding dollar assets, which would eventually undermine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ability to finance balance of payments deficits. Therefore, the Volcker Group concluded that suspending the dollar-gold convertibility would only be sustainable if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could contain inflation.</w:t>
      </w:r>
    </w:p>
    <w:p w:rsidR="00F77B49" w:rsidRPr="00890316" w:rsidRDefault="00F77B49" w:rsidP="002677C2">
      <w:pPr>
        <w:spacing w:line="240" w:lineRule="auto"/>
        <w:contextualSpacing/>
        <w:rPr>
          <w:rFonts w:ascii="Times New Roman" w:hAnsi="Times New Roman" w:cs="Times New Roman"/>
          <w:sz w:val="24"/>
          <w:szCs w:val="24"/>
        </w:rPr>
      </w:pPr>
    </w:p>
    <w:p w:rsidR="00F77B49" w:rsidRPr="00890316" w:rsidRDefault="00F77B49" w:rsidP="002677C2">
      <w:pPr>
        <w:spacing w:line="240" w:lineRule="auto"/>
        <w:contextualSpacing/>
        <w:rPr>
          <w:rFonts w:ascii="Times New Roman" w:hAnsi="Times New Roman" w:cs="Times New Roman"/>
          <w:i/>
          <w:sz w:val="24"/>
          <w:szCs w:val="24"/>
        </w:rPr>
      </w:pPr>
      <w:r w:rsidRPr="00890316">
        <w:rPr>
          <w:rFonts w:ascii="Times New Roman" w:hAnsi="Times New Roman" w:cs="Times New Roman"/>
          <w:i/>
          <w:sz w:val="24"/>
          <w:szCs w:val="24"/>
        </w:rPr>
        <w:t>The Beginning of Floating Exchange Rates</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On August 15, 1971, after a wave of unprecedented speculative dumping of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dollar, European central banks stopped accepting dollars for their own currencies, and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gold supply reached a critically low level, the Nixon administration decided to cancel the dollar’s convertibility to gold (Silber 2012: 79-85). The Nixon administration sought an upward revaluation of Europe and Japan’s currencies to reverse the declining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trade surplus (Silber 2012: 80; Stein 2010: 40). The Nixon administration justified their position because of the </w:t>
      </w:r>
      <w:r w:rsidR="000014D7">
        <w:rPr>
          <w:rFonts w:ascii="Times New Roman" w:hAnsi="Times New Roman" w:cs="Times New Roman"/>
          <w:sz w:val="24"/>
          <w:szCs w:val="24"/>
        </w:rPr>
        <w:t>US</w:t>
      </w:r>
      <w:r w:rsidRPr="00890316">
        <w:rPr>
          <w:rFonts w:ascii="Times New Roman" w:hAnsi="Times New Roman" w:cs="Times New Roman"/>
          <w:sz w:val="24"/>
          <w:szCs w:val="24"/>
        </w:rPr>
        <w:t>’ overseas military expenditures were in the “common interests” of Europe and Japan (Stein 2010: 41). After meeting with finance ministers from West Europe, Canada, and Japan, Treasury Secretary Connally reported to television cameras “…We had a problem and we are sharing it with the world just like we shared our prosperity…That’s what friends are for” (cited in Hudson 2003: 290). At that meeting, the Atlantic powers renegotiated fixed exchange rates against gold.</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However, in a world of increasingly mobile capital, those fixed exchange rates were politically impossible to maintain and the Atlantic powers abandoned fixed exchange rates in 1973. The multilateral abandonment of fixed exchange rates cemented the dollar’s role as the global reserve currency and the ability of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to rely on the rest of the world to finance its budget and trade deficits. Surplus countries could not use their dollars to purchase gold, so they would turn to the next best asset -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bills. However, domestic social and political conflicts throughout the 1970s produced dollar inflation which threatened international monetary stability and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ability to cover its balance of payments and provide international leadership.</w:t>
      </w:r>
    </w:p>
    <w:p w:rsidR="00F77B49" w:rsidRPr="00890316" w:rsidRDefault="00F77B49" w:rsidP="002677C2">
      <w:pPr>
        <w:spacing w:line="240" w:lineRule="auto"/>
        <w:ind w:firstLine="720"/>
        <w:contextualSpacing/>
        <w:rPr>
          <w:rFonts w:ascii="Times New Roman" w:hAnsi="Times New Roman" w:cs="Times New Roman"/>
          <w:sz w:val="24"/>
          <w:szCs w:val="24"/>
        </w:rPr>
      </w:pPr>
    </w:p>
    <w:p w:rsidR="00F77B49" w:rsidRPr="00890316" w:rsidRDefault="00F77B49" w:rsidP="002677C2">
      <w:pPr>
        <w:spacing w:line="240" w:lineRule="auto"/>
        <w:contextualSpacing/>
        <w:rPr>
          <w:rFonts w:ascii="Times New Roman" w:hAnsi="Times New Roman" w:cs="Times New Roman"/>
          <w:i/>
          <w:sz w:val="24"/>
          <w:szCs w:val="24"/>
        </w:rPr>
      </w:pPr>
      <w:r w:rsidRPr="00890316">
        <w:rPr>
          <w:rFonts w:ascii="Times New Roman" w:hAnsi="Times New Roman" w:cs="Times New Roman"/>
          <w:i/>
          <w:sz w:val="24"/>
          <w:szCs w:val="24"/>
        </w:rPr>
        <w:t>Breaking Domestic Inflation</w:t>
      </w:r>
    </w:p>
    <w:p w:rsidR="00F77B49" w:rsidRPr="00890316" w:rsidRDefault="00F77B49" w:rsidP="002677C2">
      <w:pPr>
        <w:spacing w:line="240" w:lineRule="auto"/>
        <w:ind w:firstLine="720"/>
        <w:contextualSpacing/>
        <w:rPr>
          <w:rFonts w:ascii="Times New Roman" w:eastAsia="Times New Roman" w:hAnsi="Times New Roman" w:cs="Times New Roman"/>
          <w:sz w:val="24"/>
          <w:szCs w:val="24"/>
        </w:rPr>
      </w:pPr>
      <w:r w:rsidRPr="00890316">
        <w:rPr>
          <w:rFonts w:ascii="Times New Roman" w:hAnsi="Times New Roman" w:cs="Times New Roman"/>
          <w:sz w:val="24"/>
          <w:szCs w:val="24"/>
        </w:rPr>
        <w:t xml:space="preserve">The rampant “stagflation” (a combination of high unemployment and high inflation) of the 1970s had multiple determinations, and it resulted in a crisis of profitability for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industries and a loss of confidence in the dollar as the world reserve currency. Domestically, the high inflation of the 1970s had devastating effects, including making investment and production inefficient, eroding returns on financial assets, and reducing capital investment (Bluestone &amp; Bennett 1982). At the international level, inflation undermined the dollar as world reserve currency and the creditability of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government. </w:t>
      </w:r>
      <w:r w:rsidRPr="00890316">
        <w:rPr>
          <w:rFonts w:ascii="Times New Roman" w:eastAsia="Times New Roman" w:hAnsi="Times New Roman" w:cs="Times New Roman"/>
          <w:sz w:val="24"/>
          <w:szCs w:val="24"/>
        </w:rPr>
        <w:t>Arthur Burns, Chairman of the Federal Reserve</w:t>
      </w:r>
      <w:r w:rsidRPr="00890316">
        <w:rPr>
          <w:rFonts w:ascii="Times New Roman" w:hAnsi="Times New Roman" w:cs="Times New Roman"/>
          <w:sz w:val="24"/>
          <w:szCs w:val="24"/>
        </w:rPr>
        <w:t xml:space="preserve"> between 1970-8, identified labor unions and welfare programs (which he viewed as a subsidy to striking workers) in the 1960s and 70s as driving a wage-price inflationary spiral</w:t>
      </w:r>
      <w:r w:rsidRPr="00890316">
        <w:rPr>
          <w:rFonts w:ascii="Times New Roman" w:eastAsia="Times New Roman" w:hAnsi="Times New Roman" w:cs="Times New Roman"/>
          <w:sz w:val="24"/>
          <w:szCs w:val="24"/>
        </w:rPr>
        <w:t xml:space="preserve"> </w:t>
      </w:r>
      <w:r w:rsidRPr="00890316">
        <w:rPr>
          <w:rFonts w:ascii="Times New Roman" w:eastAsia="Times New Roman" w:hAnsi="Times New Roman" w:cs="Times New Roman"/>
          <w:sz w:val="24"/>
          <w:szCs w:val="24"/>
        </w:rPr>
        <w:lastRenderedPageBreak/>
        <w:t>(</w:t>
      </w:r>
      <w:proofErr w:type="spellStart"/>
      <w:r w:rsidRPr="00890316">
        <w:rPr>
          <w:rFonts w:ascii="Times New Roman" w:eastAsia="Times New Roman" w:hAnsi="Times New Roman" w:cs="Times New Roman"/>
          <w:sz w:val="24"/>
          <w:szCs w:val="24"/>
        </w:rPr>
        <w:t>Gindin</w:t>
      </w:r>
      <w:proofErr w:type="spellEnd"/>
      <w:r w:rsidRPr="00890316">
        <w:rPr>
          <w:rFonts w:ascii="Times New Roman" w:eastAsia="Times New Roman" w:hAnsi="Times New Roman" w:cs="Times New Roman"/>
          <w:sz w:val="24"/>
          <w:szCs w:val="24"/>
        </w:rPr>
        <w:t xml:space="preserve"> &amp; Panitch 2012: 141). Paul Volcker succeeded Burns and had a similar diagnosis, sociologist Michael McCarthy observed, </w:t>
      </w:r>
    </w:p>
    <w:p w:rsidR="00F77B49" w:rsidRPr="00890316" w:rsidRDefault="00F77B49" w:rsidP="002677C2">
      <w:pPr>
        <w:spacing w:line="240" w:lineRule="auto"/>
        <w:ind w:left="720" w:right="720" w:firstLine="720"/>
        <w:contextualSpacing/>
        <w:rPr>
          <w:rFonts w:ascii="Times New Roman" w:hAnsi="Times New Roman" w:cs="Times New Roman"/>
          <w:sz w:val="24"/>
          <w:szCs w:val="24"/>
        </w:rPr>
      </w:pPr>
      <w:r w:rsidRPr="00890316">
        <w:rPr>
          <w:rFonts w:ascii="Times New Roman" w:eastAsia="Times New Roman" w:hAnsi="Times New Roman" w:cs="Times New Roman"/>
          <w:sz w:val="24"/>
          <w:szCs w:val="24"/>
        </w:rPr>
        <w:t>“</w:t>
      </w:r>
      <w:r w:rsidRPr="00890316">
        <w:rPr>
          <w:rFonts w:ascii="Times New Roman" w:hAnsi="Times New Roman" w:cs="Times New Roman"/>
          <w:sz w:val="24"/>
          <w:szCs w:val="24"/>
        </w:rPr>
        <w:t>Above all else, the members of the FOMC and Volcker himself operated with a cost-push theory of inflation that specifically pointed to labor power as the driver. Despite their public comments to contrary, privately they understood that inflation was more about the balance of class forces than the amount of money in the economy. And this reflected in the monetary policies they pursued” (McCarthy 2016).</w:t>
      </w:r>
    </w:p>
    <w:p w:rsidR="00AE6E51"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Paul Volcker announced The Federal Reserve’s new “monetarist” policy to break inflation in October, 1979. Consequently, at the end of Carter’s presidency the </w:t>
      </w:r>
      <w:r w:rsidRPr="00890316">
        <w:rPr>
          <w:rFonts w:ascii="Times New Roman" w:eastAsia="Times New Roman" w:hAnsi="Times New Roman" w:cs="Times New Roman"/>
          <w:sz w:val="24"/>
          <w:szCs w:val="24"/>
        </w:rPr>
        <w:t xml:space="preserve">federal funds rate was at 19.1% and they remained at that level six months into the Reagan presidency, a period </w:t>
      </w:r>
      <w:r w:rsidR="00AE6E51">
        <w:rPr>
          <w:rFonts w:ascii="Times New Roman" w:eastAsia="Times New Roman" w:hAnsi="Times New Roman" w:cs="Times New Roman"/>
          <w:sz w:val="24"/>
          <w:szCs w:val="24"/>
        </w:rPr>
        <w:t>known</w:t>
      </w:r>
      <w:r w:rsidRPr="00890316">
        <w:rPr>
          <w:rFonts w:ascii="Times New Roman" w:eastAsia="Times New Roman" w:hAnsi="Times New Roman" w:cs="Times New Roman"/>
          <w:sz w:val="24"/>
          <w:szCs w:val="24"/>
        </w:rPr>
        <w:t xml:space="preserve"> as “the Volcker shock” </w:t>
      </w:r>
      <w:r w:rsidRPr="00890316">
        <w:rPr>
          <w:rFonts w:ascii="Times New Roman" w:hAnsi="Times New Roman" w:cs="Times New Roman"/>
          <w:sz w:val="24"/>
          <w:szCs w:val="24"/>
        </w:rPr>
        <w:t>(</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168).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The Volcker shock </w:t>
      </w:r>
      <w:r w:rsidRPr="00890316">
        <w:rPr>
          <w:rFonts w:ascii="Times New Roman" w:eastAsia="Times New Roman" w:hAnsi="Times New Roman" w:cs="Times New Roman"/>
          <w:sz w:val="24"/>
          <w:szCs w:val="24"/>
        </w:rPr>
        <w:t xml:space="preserve">thrusted the </w:t>
      </w:r>
      <w:r w:rsidR="000014D7">
        <w:rPr>
          <w:rFonts w:ascii="Times New Roman" w:eastAsia="Times New Roman" w:hAnsi="Times New Roman" w:cs="Times New Roman"/>
          <w:sz w:val="24"/>
          <w:szCs w:val="24"/>
        </w:rPr>
        <w:t>US</w:t>
      </w:r>
      <w:r w:rsidRPr="00890316">
        <w:rPr>
          <w:rFonts w:ascii="Times New Roman" w:eastAsia="Times New Roman" w:hAnsi="Times New Roman" w:cs="Times New Roman"/>
          <w:sz w:val="24"/>
          <w:szCs w:val="24"/>
        </w:rPr>
        <w:t xml:space="preserve"> into the deepest economic downturn since the Great Depression</w:t>
      </w:r>
      <w:r w:rsidRPr="00890316">
        <w:rPr>
          <w:rFonts w:ascii="Times New Roman" w:hAnsi="Times New Roman" w:cs="Times New Roman"/>
          <w:sz w:val="24"/>
          <w:szCs w:val="24"/>
        </w:rPr>
        <w:t>, consequently, i</w:t>
      </w:r>
      <w:r w:rsidRPr="00890316">
        <w:rPr>
          <w:rFonts w:ascii="Times New Roman" w:eastAsia="Times New Roman" w:hAnsi="Times New Roman" w:cs="Times New Roman"/>
          <w:sz w:val="24"/>
          <w:szCs w:val="24"/>
        </w:rPr>
        <w:t>nflation was finally broken when unemployment rose from its 1979 level of 6% to reach above 10% in the fall of 1982. It was at this point that Volcker announced the end of monetarist restraint and shifted to monetary easing. Economic growth finally resumed in 1983, and inflation came down to just over 3% and it remained at about that level for the rest of the century</w:t>
      </w:r>
      <w:r w:rsidRPr="00890316">
        <w:rPr>
          <w:rFonts w:ascii="Times New Roman" w:hAnsi="Times New Roman" w:cs="Times New Roman"/>
          <w:sz w:val="24"/>
          <w:szCs w:val="24"/>
        </w:rPr>
        <w:t xml:space="preserve">. </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Domestically, “the Volcker shock” helped secure lasting anti-inflationary conditions by facilitating a shift in the balance of class forces. Volcker praised Reagan’s firing of 12,000 public sector union strikers in the airline industry as “the single most important anti-inflationary step that Reagan took” because it influenced other labor negotiations (cited in Hayward 2010: 173). Figure Five contrasts private sector union membership with the inflation rate. Union membership held above 20 percent of the private sector workforce throughout the 1970s, and after the “Volcker Shock” it declines steadily. In 1979, as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automaker Chrysler faced bankruptcy, the United Auto Workers made </w:t>
      </w:r>
      <w:r w:rsidRPr="00890316">
        <w:rPr>
          <w:rFonts w:ascii="Times New Roman" w:eastAsia="Times New Roman" w:hAnsi="Times New Roman" w:cs="Times New Roman"/>
          <w:sz w:val="24"/>
          <w:szCs w:val="24"/>
        </w:rPr>
        <w:t>wage concessions and allowed for the outsourcing of production to non-union plants</w:t>
      </w:r>
      <w:r w:rsidRPr="00890316">
        <w:rPr>
          <w:rFonts w:ascii="Times New Roman" w:hAnsi="Times New Roman" w:cs="Times New Roman"/>
          <w:sz w:val="24"/>
          <w:szCs w:val="24"/>
        </w:rPr>
        <w:t>.</w:t>
      </w:r>
      <w:r w:rsidRPr="00890316">
        <w:rPr>
          <w:rFonts w:ascii="Times New Roman" w:eastAsia="Times New Roman" w:hAnsi="Times New Roman" w:cs="Times New Roman"/>
          <w:sz w:val="24"/>
          <w:szCs w:val="24"/>
        </w:rPr>
        <w:t xml:space="preserve"> These concessions became “the template” for the spread of similar concessions throughout </w:t>
      </w:r>
      <w:r w:rsidR="000014D7">
        <w:rPr>
          <w:rFonts w:ascii="Times New Roman" w:eastAsia="Times New Roman" w:hAnsi="Times New Roman" w:cs="Times New Roman"/>
          <w:sz w:val="24"/>
          <w:szCs w:val="24"/>
        </w:rPr>
        <w:t>US</w:t>
      </w:r>
      <w:r w:rsidRPr="00890316">
        <w:rPr>
          <w:rFonts w:ascii="Times New Roman" w:eastAsia="Times New Roman" w:hAnsi="Times New Roman" w:cs="Times New Roman"/>
          <w:sz w:val="24"/>
          <w:szCs w:val="24"/>
        </w:rPr>
        <w:t xml:space="preserve"> industry, including airlines, meatpacking, agricultural implements, trucking, grocery, rubber, among smaller steel firms, and in public employment </w:t>
      </w:r>
      <w:r w:rsidRPr="00890316">
        <w:rPr>
          <w:rFonts w:ascii="Times New Roman" w:hAnsi="Times New Roman" w:cs="Times New Roman"/>
          <w:sz w:val="24"/>
          <w:szCs w:val="24"/>
        </w:rPr>
        <w:t>(</w:t>
      </w:r>
      <w:proofErr w:type="spellStart"/>
      <w:r w:rsidRPr="00890316">
        <w:rPr>
          <w:rFonts w:ascii="Times New Roman" w:hAnsi="Times New Roman" w:cs="Times New Roman"/>
          <w:sz w:val="24"/>
          <w:szCs w:val="24"/>
        </w:rPr>
        <w:t>Gindin</w:t>
      </w:r>
      <w:proofErr w:type="spellEnd"/>
      <w:r w:rsidRPr="00890316">
        <w:rPr>
          <w:rFonts w:ascii="Times New Roman" w:hAnsi="Times New Roman" w:cs="Times New Roman"/>
          <w:sz w:val="24"/>
          <w:szCs w:val="24"/>
        </w:rPr>
        <w:t xml:space="preserve"> &amp; Panitch 2012: 171-2). This was met with the Reagan administration’s cutbacks to </w:t>
      </w:r>
      <w:r w:rsidRPr="00890316">
        <w:rPr>
          <w:rFonts w:ascii="Times New Roman" w:eastAsia="Times New Roman" w:hAnsi="Times New Roman" w:cs="Times New Roman"/>
          <w:sz w:val="24"/>
          <w:szCs w:val="24"/>
        </w:rPr>
        <w:t>welfare, food stamps, Medicare, public pensions, and unemployment insurance</w:t>
      </w:r>
      <w:r w:rsidRPr="00890316">
        <w:rPr>
          <w:rFonts w:ascii="Times New Roman" w:hAnsi="Times New Roman" w:cs="Times New Roman"/>
          <w:sz w:val="24"/>
          <w:szCs w:val="24"/>
        </w:rPr>
        <w:t xml:space="preserve">. </w:t>
      </w:r>
    </w:p>
    <w:p w:rsidR="00F77B49" w:rsidRPr="00890316" w:rsidRDefault="00F77B49" w:rsidP="002677C2">
      <w:pPr>
        <w:spacing w:line="240" w:lineRule="auto"/>
        <w:contextualSpacing/>
        <w:rPr>
          <w:rFonts w:ascii="Times New Roman" w:hAnsi="Times New Roman" w:cs="Times New Roman"/>
          <w:sz w:val="24"/>
          <w:szCs w:val="24"/>
        </w:rPr>
      </w:pPr>
    </w:p>
    <w:p w:rsidR="00F77B49" w:rsidRPr="00890316" w:rsidRDefault="00F77B49" w:rsidP="002677C2">
      <w:pPr>
        <w:spacing w:line="240" w:lineRule="auto"/>
        <w:contextualSpacing/>
        <w:rPr>
          <w:rFonts w:ascii="Times New Roman" w:hAnsi="Times New Roman" w:cs="Times New Roman"/>
          <w:sz w:val="24"/>
          <w:szCs w:val="24"/>
        </w:rPr>
      </w:pPr>
      <w:r w:rsidRPr="00890316">
        <w:rPr>
          <w:rFonts w:ascii="Times New Roman" w:hAnsi="Times New Roman" w:cs="Times New Roman"/>
          <w:sz w:val="24"/>
          <w:szCs w:val="24"/>
        </w:rPr>
        <w:t>Figure Five: Dollar Inflation</w:t>
      </w:r>
      <w:r w:rsidR="00110602">
        <w:rPr>
          <w:rFonts w:ascii="Times New Roman" w:hAnsi="Times New Roman" w:cs="Times New Roman"/>
          <w:sz w:val="24"/>
          <w:szCs w:val="24"/>
        </w:rPr>
        <w:t xml:space="preserve"> and Private Sector</w:t>
      </w:r>
      <w:r w:rsidRPr="00890316">
        <w:rPr>
          <w:rFonts w:ascii="Times New Roman" w:hAnsi="Times New Roman" w:cs="Times New Roman"/>
          <w:sz w:val="24"/>
          <w:szCs w:val="24"/>
        </w:rPr>
        <w:t xml:space="preserve"> Union Membership</w:t>
      </w: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noProof/>
          <w:sz w:val="24"/>
          <w:szCs w:val="24"/>
        </w:rPr>
        <w:lastRenderedPageBreak/>
        <w:drawing>
          <wp:inline distT="0" distB="0" distL="0" distR="0" wp14:anchorId="04DE1C7F" wp14:editId="57F7E4EA">
            <wp:extent cx="4572000" cy="2743200"/>
            <wp:effectExtent l="0" t="0" r="0" b="0"/>
            <wp:docPr id="11" name="Chart 11">
              <a:extLst xmlns:a="http://schemas.openxmlformats.org/drawingml/2006/main">
                <a:ext uri="{FF2B5EF4-FFF2-40B4-BE49-F238E27FC236}">
                  <a16:creationId xmlns:a16="http://schemas.microsoft.com/office/drawing/2014/main" id="{121475A2-F68A-4A24-A670-083D1B4762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7B49" w:rsidRPr="00890316" w:rsidRDefault="00F77B49" w:rsidP="002677C2">
      <w:pPr>
        <w:spacing w:line="240" w:lineRule="auto"/>
        <w:ind w:firstLine="720"/>
        <w:contextualSpacing/>
        <w:rPr>
          <w:rFonts w:ascii="Times New Roman" w:hAnsi="Times New Roman" w:cs="Times New Roman"/>
          <w:sz w:val="24"/>
          <w:szCs w:val="24"/>
        </w:rPr>
      </w:pPr>
    </w:p>
    <w:p w:rsidR="00F77B49" w:rsidRPr="00890316"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Therefore, there were two main determinants to the shift of class power that broke the wage-price spiral inflation: (1) the “Volcker shock”; and (2) de-unionization and cutbacks to the social wage. While inflation had multiple determinations, these were the necessary domestic social and political conditions to prevent inflation bouts. These measures effectively restored confidence in the dollar and saved it as the world’s reserve currency, thereby attracting capital back into dollar assets to restore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balance of payments. Since then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began unprecedented trade deficits. Figure Four shows that from 1981 to 1983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trade deficit climbed from approximately $16 billion to $57 billion and it has been secularly growing since then.</w:t>
      </w:r>
    </w:p>
    <w:p w:rsidR="00F77B49" w:rsidRDefault="00F77B49" w:rsidP="002677C2">
      <w:pPr>
        <w:spacing w:line="240" w:lineRule="auto"/>
        <w:contextualSpacing/>
        <w:rPr>
          <w:rFonts w:ascii="Times New Roman" w:hAnsi="Times New Roman" w:cs="Times New Roman"/>
          <w:sz w:val="24"/>
          <w:szCs w:val="24"/>
        </w:rPr>
      </w:pPr>
    </w:p>
    <w:p w:rsidR="002677C2" w:rsidRPr="002677C2" w:rsidRDefault="002677C2" w:rsidP="002677C2">
      <w:pPr>
        <w:spacing w:line="240" w:lineRule="auto"/>
        <w:contextualSpacing/>
        <w:rPr>
          <w:rFonts w:ascii="Times New Roman" w:hAnsi="Times New Roman" w:cs="Times New Roman"/>
          <w:i/>
          <w:sz w:val="24"/>
          <w:szCs w:val="24"/>
        </w:rPr>
      </w:pPr>
      <w:r w:rsidRPr="002677C2">
        <w:rPr>
          <w:rFonts w:ascii="Times New Roman" w:hAnsi="Times New Roman" w:cs="Times New Roman"/>
          <w:i/>
          <w:sz w:val="24"/>
          <w:szCs w:val="24"/>
        </w:rPr>
        <w:t>Expansion of the Trade Deficit in the 1990s and 2000s</w:t>
      </w:r>
    </w:p>
    <w:p w:rsidR="002677C2" w:rsidRPr="00CC4D08" w:rsidRDefault="002677C2" w:rsidP="002677C2">
      <w:pPr>
        <w:spacing w:line="240" w:lineRule="auto"/>
        <w:ind w:firstLine="720"/>
        <w:contextualSpacing/>
        <w:rPr>
          <w:rFonts w:ascii="Times New Roman" w:hAnsi="Times New Roman" w:cs="Times New Roman"/>
          <w:sz w:val="24"/>
          <w:szCs w:val="24"/>
        </w:rPr>
      </w:pPr>
      <w:r w:rsidRPr="00CC4D08">
        <w:rPr>
          <w:rFonts w:ascii="Times New Roman" w:hAnsi="Times New Roman" w:cs="Times New Roman"/>
          <w:sz w:val="24"/>
          <w:szCs w:val="24"/>
        </w:rPr>
        <w:t xml:space="preserve">While the international monetary system was primarily a conflict among the Atlantic powers, world trade and trade policy was further complicated by challenges to the Atlantic powers from the global south. On November 16, 1975, the heads of state of the U.S., Canada, Japan, and Western Europe converged in </w:t>
      </w:r>
      <w:proofErr w:type="spellStart"/>
      <w:r w:rsidRPr="00CC4D08">
        <w:rPr>
          <w:rFonts w:ascii="Times New Roman" w:hAnsi="Times New Roman" w:cs="Times New Roman"/>
          <w:sz w:val="24"/>
          <w:szCs w:val="24"/>
        </w:rPr>
        <w:t>Rambouillet</w:t>
      </w:r>
      <w:proofErr w:type="spellEnd"/>
      <w:r w:rsidRPr="00CC4D08">
        <w:rPr>
          <w:rFonts w:ascii="Times New Roman" w:hAnsi="Times New Roman" w:cs="Times New Roman"/>
          <w:sz w:val="24"/>
          <w:szCs w:val="24"/>
        </w:rPr>
        <w:t xml:space="preserve">, France to discuss world monetary and trade affairs. Despite the currency conflicts, stagflation in the major economies, and growing trade and payments imbalances, each of the world leaders vowed to resist domestic calls for import restrictions and protectionism. German Chancellor Schmidt reasoned, “The countries in this room should act together not just because of a deep-rooted liberalism but because the market system benefits us” (Memorandum of Conversation 1975: 407). However, British Prime Minister Wilson responded that protectionism cannot be ruled out as a response to “…lethal attacks by other countries directed at destroying two or three sectors of our economy. These are not lame duck industries” (1975: 407). Chancellor Schmidt’s response is worth quoting at length, </w:t>
      </w:r>
    </w:p>
    <w:p w:rsidR="002677C2" w:rsidRPr="00CC4D08" w:rsidRDefault="002677C2" w:rsidP="002677C2">
      <w:pPr>
        <w:spacing w:line="240" w:lineRule="auto"/>
        <w:ind w:left="720" w:right="720" w:firstLine="720"/>
        <w:contextualSpacing/>
        <w:rPr>
          <w:rFonts w:ascii="Times New Roman" w:hAnsi="Times New Roman" w:cs="Times New Roman"/>
          <w:sz w:val="24"/>
          <w:szCs w:val="24"/>
        </w:rPr>
      </w:pPr>
      <w:r w:rsidRPr="00CC4D08">
        <w:rPr>
          <w:rFonts w:ascii="Times New Roman" w:hAnsi="Times New Roman" w:cs="Times New Roman"/>
          <w:sz w:val="24"/>
          <w:szCs w:val="24"/>
        </w:rPr>
        <w:t xml:space="preserve">“Harold, you talked of viable industries, and indicated that this excluded lame ducks. You referred to textiles as an example. I am a close friend of the chairman of the textile workers union in Germany. It is a union of a shrinking industry. I would hope that this would not be repeated outside of this room. Given the high level of wages in Europe, I cannot help but believe that in the long run textile industries here will have to vanish. We cannot ward off cheaper competition from outside…wages in East Asia are very low compared with </w:t>
      </w:r>
      <w:r w:rsidRPr="00CC4D08">
        <w:rPr>
          <w:rFonts w:ascii="Times New Roman" w:hAnsi="Times New Roman" w:cs="Times New Roman"/>
          <w:sz w:val="24"/>
          <w:szCs w:val="24"/>
        </w:rPr>
        <w:lastRenderedPageBreak/>
        <w:t>ours…The German textile industry is viable, but will vanish in ten or twelve years” (1975: 407).</w:t>
      </w:r>
    </w:p>
    <w:p w:rsidR="002677C2" w:rsidRDefault="002677C2" w:rsidP="002677C2">
      <w:pPr>
        <w:spacing w:line="240" w:lineRule="auto"/>
        <w:ind w:firstLine="720"/>
        <w:contextualSpacing/>
        <w:rPr>
          <w:rFonts w:ascii="Times New Roman" w:hAnsi="Times New Roman" w:cs="Times New Roman"/>
          <w:sz w:val="24"/>
          <w:szCs w:val="24"/>
        </w:rPr>
      </w:pPr>
      <w:r w:rsidRPr="00CC4D08">
        <w:rPr>
          <w:rFonts w:ascii="Times New Roman" w:hAnsi="Times New Roman" w:cs="Times New Roman"/>
          <w:sz w:val="24"/>
          <w:szCs w:val="24"/>
        </w:rPr>
        <w:t>All of the Atlantic powers collectively mulled a new geography of production, in which industrial competition was not only amongst developed countries, but also from emerging low-wage and labor-intensive manufacturing in East Asia and Eastern Europe. Domestically, beginning in the early 1960s, policymakers were keenly aware that the U.S. was transitioning from an export-oriented to an import-oriented economy, and the Kennedy administration identified a fundamental solution as promoting the export competitiveness of U.S. firms and reducing barriers to trade abroad (</w:t>
      </w:r>
      <w:proofErr w:type="spellStart"/>
      <w:r w:rsidRPr="00CC4D08">
        <w:rPr>
          <w:rFonts w:ascii="Times New Roman" w:hAnsi="Times New Roman" w:cs="Times New Roman"/>
          <w:sz w:val="24"/>
          <w:szCs w:val="24"/>
        </w:rPr>
        <w:t>Gindin</w:t>
      </w:r>
      <w:proofErr w:type="spellEnd"/>
      <w:r w:rsidRPr="00CC4D08">
        <w:rPr>
          <w:rFonts w:ascii="Times New Roman" w:hAnsi="Times New Roman" w:cs="Times New Roman"/>
          <w:sz w:val="24"/>
          <w:szCs w:val="24"/>
        </w:rPr>
        <w:t xml:space="preserve"> &amp; Panitch 2012: 125). The 1962 Trade Act expanded the trade negotiating powers of the Executive branch and established the government agency that would become the USTR in preparation for the General Agreement on Tariffs and Trade (GATT) Kennedy Round of negotiations (1963-7) (</w:t>
      </w:r>
      <w:proofErr w:type="spellStart"/>
      <w:r w:rsidRPr="00CC4D08">
        <w:rPr>
          <w:rFonts w:ascii="Times New Roman" w:hAnsi="Times New Roman" w:cs="Times New Roman"/>
          <w:sz w:val="24"/>
          <w:szCs w:val="24"/>
        </w:rPr>
        <w:t>Gindin</w:t>
      </w:r>
      <w:proofErr w:type="spellEnd"/>
      <w:r w:rsidRPr="00CC4D08">
        <w:rPr>
          <w:rFonts w:ascii="Times New Roman" w:hAnsi="Times New Roman" w:cs="Times New Roman"/>
          <w:sz w:val="24"/>
          <w:szCs w:val="24"/>
        </w:rPr>
        <w:t xml:space="preserve"> &amp; Panitch 2012: 125). </w:t>
      </w:r>
    </w:p>
    <w:p w:rsidR="002677C2" w:rsidRDefault="002677C2" w:rsidP="002677C2">
      <w:pPr>
        <w:spacing w:line="240" w:lineRule="auto"/>
        <w:ind w:firstLine="720"/>
        <w:contextualSpacing/>
        <w:rPr>
          <w:rFonts w:ascii="Times New Roman" w:hAnsi="Times New Roman" w:cs="Times New Roman"/>
          <w:sz w:val="24"/>
          <w:szCs w:val="24"/>
        </w:rPr>
      </w:pPr>
      <w:r w:rsidRPr="00CC4D08">
        <w:rPr>
          <w:rFonts w:ascii="Times New Roman" w:hAnsi="Times New Roman" w:cs="Times New Roman"/>
          <w:sz w:val="24"/>
          <w:szCs w:val="24"/>
        </w:rPr>
        <w:t xml:space="preserve">By the early 1970s, U.S. </w:t>
      </w:r>
      <w:r>
        <w:rPr>
          <w:rFonts w:ascii="Times New Roman" w:hAnsi="Times New Roman" w:cs="Times New Roman"/>
          <w:sz w:val="24"/>
          <w:szCs w:val="24"/>
        </w:rPr>
        <w:t>MNCs</w:t>
      </w:r>
      <w:r w:rsidRPr="00CC4D08">
        <w:rPr>
          <w:rFonts w:ascii="Times New Roman" w:hAnsi="Times New Roman" w:cs="Times New Roman"/>
          <w:sz w:val="24"/>
          <w:szCs w:val="24"/>
        </w:rPr>
        <w:t xml:space="preserve"> began lobbying Congress and the President for fundamental reforms to GATT.</w:t>
      </w:r>
      <w:r w:rsidR="000F3A2E">
        <w:rPr>
          <w:rFonts w:ascii="Times New Roman" w:hAnsi="Times New Roman" w:cs="Times New Roman"/>
          <w:sz w:val="24"/>
          <w:szCs w:val="24"/>
        </w:rPr>
        <w:t xml:space="preserve"> U.S. MNCs led political initiatives to shift the institutional home for trade authority (</w:t>
      </w:r>
      <w:proofErr w:type="spellStart"/>
      <w:r w:rsidR="000F3A2E" w:rsidRPr="00400873">
        <w:rPr>
          <w:rFonts w:ascii="Times New Roman" w:hAnsi="Times New Roman" w:cs="Times New Roman"/>
          <w:sz w:val="24"/>
          <w:szCs w:val="24"/>
        </w:rPr>
        <w:t>Chorev</w:t>
      </w:r>
      <w:proofErr w:type="spellEnd"/>
      <w:r w:rsidR="000F3A2E" w:rsidRPr="00400873">
        <w:rPr>
          <w:rFonts w:ascii="Times New Roman" w:hAnsi="Times New Roman" w:cs="Times New Roman"/>
          <w:sz w:val="24"/>
          <w:szCs w:val="24"/>
        </w:rPr>
        <w:t xml:space="preserve"> 2007)</w:t>
      </w:r>
      <w:r w:rsidR="000F3A2E">
        <w:rPr>
          <w:rFonts w:ascii="Times New Roman" w:hAnsi="Times New Roman" w:cs="Times New Roman"/>
          <w:sz w:val="24"/>
          <w:szCs w:val="24"/>
        </w:rPr>
        <w:t xml:space="preserve">. U.S. MNCs were the principle lobbyists behind The 1974 Trade Act, which transferred authority away from Congress to the Executive, established the United States Trade Representative (USTR, the government agency that coordinates and negotiates trade policy), and official private sector advisory bodies to the USTR. Sociologists </w:t>
      </w:r>
      <w:proofErr w:type="spellStart"/>
      <w:r w:rsidR="000F3A2E" w:rsidRPr="005267D5">
        <w:rPr>
          <w:rFonts w:ascii="Times New Roman" w:hAnsi="Times New Roman" w:cs="Times New Roman"/>
          <w:sz w:val="24"/>
          <w:szCs w:val="24"/>
        </w:rPr>
        <w:t>Dreiling</w:t>
      </w:r>
      <w:proofErr w:type="spellEnd"/>
      <w:r w:rsidR="000F3A2E" w:rsidRPr="005267D5">
        <w:rPr>
          <w:rFonts w:ascii="Times New Roman" w:hAnsi="Times New Roman" w:cs="Times New Roman"/>
          <w:sz w:val="24"/>
          <w:szCs w:val="24"/>
        </w:rPr>
        <w:t xml:space="preserve"> </w:t>
      </w:r>
      <w:r w:rsidR="000F3A2E">
        <w:rPr>
          <w:rFonts w:ascii="Times New Roman" w:hAnsi="Times New Roman" w:cs="Times New Roman"/>
          <w:sz w:val="24"/>
          <w:szCs w:val="24"/>
        </w:rPr>
        <w:t>and</w:t>
      </w:r>
      <w:r w:rsidR="000F3A2E" w:rsidRPr="005267D5">
        <w:rPr>
          <w:rFonts w:ascii="Times New Roman" w:hAnsi="Times New Roman" w:cs="Times New Roman"/>
          <w:sz w:val="24"/>
          <w:szCs w:val="24"/>
        </w:rPr>
        <w:t xml:space="preserve"> </w:t>
      </w:r>
      <w:proofErr w:type="spellStart"/>
      <w:r w:rsidR="000F3A2E" w:rsidRPr="005267D5">
        <w:rPr>
          <w:rFonts w:ascii="Times New Roman" w:hAnsi="Times New Roman" w:cs="Times New Roman"/>
          <w:sz w:val="24"/>
          <w:szCs w:val="24"/>
        </w:rPr>
        <w:t>Darves</w:t>
      </w:r>
      <w:proofErr w:type="spellEnd"/>
      <w:r w:rsidR="000F3A2E">
        <w:rPr>
          <w:rFonts w:ascii="Times New Roman" w:hAnsi="Times New Roman" w:cs="Times New Roman"/>
          <w:sz w:val="24"/>
          <w:szCs w:val="24"/>
        </w:rPr>
        <w:t xml:space="preserve"> mapped these networks, documenting a </w:t>
      </w:r>
      <w:r w:rsidR="000F3A2E" w:rsidRPr="00400873">
        <w:rPr>
          <w:rFonts w:ascii="Times New Roman" w:hAnsi="Times New Roman" w:cs="Times New Roman"/>
          <w:sz w:val="24"/>
          <w:szCs w:val="24"/>
        </w:rPr>
        <w:t>significant and recurring overlap between leaders</w:t>
      </w:r>
      <w:r w:rsidR="000F3A2E">
        <w:rPr>
          <w:rFonts w:ascii="Times New Roman" w:hAnsi="Times New Roman" w:cs="Times New Roman"/>
          <w:sz w:val="24"/>
          <w:szCs w:val="24"/>
        </w:rPr>
        <w:t xml:space="preserve"> of major corporate lobbies, official advisors, and </w:t>
      </w:r>
      <w:r w:rsidR="000F3A2E" w:rsidRPr="005267D5">
        <w:rPr>
          <w:rFonts w:ascii="Times New Roman" w:hAnsi="Times New Roman" w:cs="Times New Roman"/>
          <w:sz w:val="24"/>
          <w:szCs w:val="24"/>
        </w:rPr>
        <w:t>trade policymak</w:t>
      </w:r>
      <w:r w:rsidR="000F3A2E">
        <w:rPr>
          <w:rFonts w:ascii="Times New Roman" w:hAnsi="Times New Roman" w:cs="Times New Roman"/>
          <w:sz w:val="24"/>
          <w:szCs w:val="24"/>
        </w:rPr>
        <w:t xml:space="preserve">ers (2016). </w:t>
      </w:r>
    </w:p>
    <w:p w:rsidR="002677C2" w:rsidRDefault="002677C2" w:rsidP="002677C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These powerful corporate lobbies, notably the Business Roundtable and </w:t>
      </w:r>
      <w:r w:rsidRPr="00400873">
        <w:rPr>
          <w:rFonts w:ascii="Times New Roman" w:hAnsi="Times New Roman" w:cs="Times New Roman"/>
          <w:sz w:val="24"/>
          <w:szCs w:val="24"/>
        </w:rPr>
        <w:t>Emergency Committee on American Trade</w:t>
      </w:r>
      <w:r>
        <w:rPr>
          <w:rFonts w:ascii="Times New Roman" w:hAnsi="Times New Roman" w:cs="Times New Roman"/>
          <w:sz w:val="24"/>
          <w:szCs w:val="24"/>
        </w:rPr>
        <w:t>, sustained cross-industry agendas and were able to advance a relatively coherent set of trade policy preferences reflecting the general interests of U.S. MNCs across sectors (</w:t>
      </w:r>
      <w:proofErr w:type="spellStart"/>
      <w:r w:rsidRPr="005267D5">
        <w:rPr>
          <w:rFonts w:ascii="Times New Roman" w:hAnsi="Times New Roman" w:cs="Times New Roman"/>
          <w:sz w:val="24"/>
          <w:szCs w:val="24"/>
        </w:rPr>
        <w:t>Dreiling</w:t>
      </w:r>
      <w:proofErr w:type="spellEnd"/>
      <w:r w:rsidRPr="005267D5">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5267D5">
        <w:rPr>
          <w:rFonts w:ascii="Times New Roman" w:hAnsi="Times New Roman" w:cs="Times New Roman"/>
          <w:sz w:val="24"/>
          <w:szCs w:val="24"/>
        </w:rPr>
        <w:t>Darves</w:t>
      </w:r>
      <w:proofErr w:type="spellEnd"/>
      <w:r>
        <w:rPr>
          <w:rFonts w:ascii="Times New Roman" w:hAnsi="Times New Roman" w:cs="Times New Roman"/>
          <w:sz w:val="24"/>
          <w:szCs w:val="24"/>
        </w:rPr>
        <w:t>, 2016</w:t>
      </w:r>
      <w:r w:rsidR="00593150">
        <w:rPr>
          <w:rFonts w:ascii="Times New Roman" w:hAnsi="Times New Roman" w:cs="Times New Roman"/>
          <w:sz w:val="24"/>
          <w:szCs w:val="24"/>
        </w:rPr>
        <w:t>; Liss 2019</w:t>
      </w:r>
      <w:r>
        <w:rPr>
          <w:rFonts w:ascii="Times New Roman" w:hAnsi="Times New Roman" w:cs="Times New Roman"/>
          <w:sz w:val="24"/>
          <w:szCs w:val="24"/>
        </w:rPr>
        <w:t xml:space="preserve">). The goal of major corporate lobbies was not just to write U.S. trade policy but to leverage U.S. trade institutions to shape trade agreements and international organizations. U.S. MNCs sought to establish the World Trade Organization (WTO) dispute settlement system to constrain </w:t>
      </w:r>
      <w:r w:rsidR="00593150">
        <w:rPr>
          <w:rFonts w:ascii="Times New Roman" w:hAnsi="Times New Roman" w:cs="Times New Roman"/>
          <w:sz w:val="24"/>
          <w:szCs w:val="24"/>
        </w:rPr>
        <w:t>competing</w:t>
      </w:r>
      <w:r>
        <w:rPr>
          <w:rFonts w:ascii="Times New Roman" w:hAnsi="Times New Roman" w:cs="Times New Roman"/>
          <w:sz w:val="24"/>
          <w:szCs w:val="24"/>
        </w:rPr>
        <w:t xml:space="preserve"> </w:t>
      </w:r>
      <w:r w:rsidR="00593150">
        <w:rPr>
          <w:rFonts w:ascii="Times New Roman" w:hAnsi="Times New Roman" w:cs="Times New Roman"/>
          <w:sz w:val="24"/>
          <w:szCs w:val="24"/>
        </w:rPr>
        <w:t>stakeholders</w:t>
      </w:r>
      <w:r>
        <w:rPr>
          <w:rFonts w:ascii="Times New Roman" w:hAnsi="Times New Roman" w:cs="Times New Roman"/>
          <w:sz w:val="24"/>
          <w:szCs w:val="24"/>
        </w:rPr>
        <w:t xml:space="preserve"> in the Executive, as well as in other countries (</w:t>
      </w:r>
      <w:proofErr w:type="spellStart"/>
      <w:r>
        <w:rPr>
          <w:rFonts w:ascii="Times New Roman" w:hAnsi="Times New Roman" w:cs="Times New Roman"/>
          <w:sz w:val="24"/>
          <w:szCs w:val="24"/>
        </w:rPr>
        <w:t>Chorev</w:t>
      </w:r>
      <w:proofErr w:type="spellEnd"/>
      <w:r>
        <w:rPr>
          <w:rFonts w:ascii="Times New Roman" w:hAnsi="Times New Roman" w:cs="Times New Roman"/>
          <w:sz w:val="24"/>
          <w:szCs w:val="24"/>
        </w:rPr>
        <w:t>, 2007). U.S. corporate lobbies formed policy networks with corporate groups in Europe and Japan, who collectively lobbied their respective governments to institutionalize intellectual property, services, and investment in the WTO (Kelsey, 2007; Sell, 2003).</w:t>
      </w:r>
    </w:p>
    <w:p w:rsidR="00E06807" w:rsidRDefault="008E7B85" w:rsidP="008E7B8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WTO and concomitant expansion of regional and bilateral trade and investment agreements led to the rapid expansion of world trade and investment in the 1990s. As the WTO was shaped by corporate interests, </w:t>
      </w:r>
      <w:r w:rsidR="00E06807" w:rsidRPr="00E06807">
        <w:rPr>
          <w:rFonts w:ascii="Times New Roman" w:hAnsi="Times New Roman" w:cs="Times New Roman"/>
          <w:sz w:val="24"/>
          <w:szCs w:val="24"/>
        </w:rPr>
        <w:t xml:space="preserve">“about 80% of global trade (in terms of gross exports) has become linked to international production networks of </w:t>
      </w:r>
      <w:r>
        <w:rPr>
          <w:rFonts w:ascii="Times New Roman" w:hAnsi="Times New Roman" w:cs="Times New Roman"/>
          <w:sz w:val="24"/>
          <w:szCs w:val="24"/>
        </w:rPr>
        <w:t>[M</w:t>
      </w:r>
      <w:r w:rsidR="00E06807" w:rsidRPr="00E06807">
        <w:rPr>
          <w:rFonts w:ascii="Times New Roman" w:hAnsi="Times New Roman" w:cs="Times New Roman"/>
          <w:sz w:val="24"/>
          <w:szCs w:val="24"/>
        </w:rPr>
        <w:t>NCs</w:t>
      </w:r>
      <w:r>
        <w:rPr>
          <w:rFonts w:ascii="Times New Roman" w:hAnsi="Times New Roman" w:cs="Times New Roman"/>
          <w:sz w:val="24"/>
          <w:szCs w:val="24"/>
        </w:rPr>
        <w:t>]</w:t>
      </w:r>
      <w:r w:rsidR="00E06807" w:rsidRPr="00E06807">
        <w:rPr>
          <w:rFonts w:ascii="Times New Roman" w:hAnsi="Times New Roman" w:cs="Times New Roman"/>
          <w:sz w:val="24"/>
          <w:szCs w:val="24"/>
        </w:rPr>
        <w:t>”</w:t>
      </w:r>
      <w:r>
        <w:rPr>
          <w:rFonts w:ascii="Times New Roman" w:hAnsi="Times New Roman" w:cs="Times New Roman"/>
          <w:sz w:val="24"/>
          <w:szCs w:val="24"/>
        </w:rPr>
        <w:t xml:space="preserve"> </w:t>
      </w:r>
      <w:r w:rsidR="00593150" w:rsidRPr="00593150">
        <w:rPr>
          <w:rFonts w:ascii="Times New Roman" w:hAnsi="Times New Roman" w:cs="Times New Roman"/>
          <w:sz w:val="24"/>
          <w:szCs w:val="24"/>
        </w:rPr>
        <w:t>(UNCTAD 2013</w:t>
      </w:r>
      <w:r w:rsidR="00593150">
        <w:rPr>
          <w:rFonts w:ascii="Times New Roman" w:hAnsi="Times New Roman" w:cs="Times New Roman"/>
          <w:sz w:val="24"/>
          <w:szCs w:val="24"/>
        </w:rPr>
        <w:t xml:space="preserve">: </w:t>
      </w:r>
      <w:r w:rsidR="00593150" w:rsidRPr="00593150">
        <w:rPr>
          <w:rFonts w:ascii="Times New Roman" w:hAnsi="Times New Roman" w:cs="Times New Roman"/>
          <w:sz w:val="24"/>
          <w:szCs w:val="24"/>
        </w:rPr>
        <w:t>135</w:t>
      </w:r>
      <w:r w:rsidR="00593150">
        <w:rPr>
          <w:rFonts w:ascii="Times New Roman" w:hAnsi="Times New Roman" w:cs="Times New Roman"/>
          <w:sz w:val="24"/>
          <w:szCs w:val="24"/>
        </w:rPr>
        <w:t>). The WTO and trade agreements allow MNCs to source and outsource inputs in developing countries while retaining profits as intellectual property rents. Developing countries eagerly welcomed MNCs as partners in their export-led growth strategies. In these contexts, South to North exports flourished, notably driven by “the rise of China</w:t>
      </w:r>
      <w:r w:rsidR="00D16B72">
        <w:rPr>
          <w:rFonts w:ascii="Times New Roman" w:hAnsi="Times New Roman" w:cs="Times New Roman"/>
          <w:sz w:val="24"/>
          <w:szCs w:val="24"/>
        </w:rPr>
        <w:t>.</w:t>
      </w:r>
      <w:r w:rsidR="00593150">
        <w:rPr>
          <w:rFonts w:ascii="Times New Roman" w:hAnsi="Times New Roman" w:cs="Times New Roman"/>
          <w:sz w:val="24"/>
          <w:szCs w:val="24"/>
        </w:rPr>
        <w:t xml:space="preserve">” </w:t>
      </w:r>
      <w:r w:rsidR="00D16B72">
        <w:rPr>
          <w:rFonts w:ascii="Times New Roman" w:hAnsi="Times New Roman" w:cs="Times New Roman"/>
          <w:sz w:val="24"/>
          <w:szCs w:val="24"/>
        </w:rPr>
        <w:t>This drove the expansion of the</w:t>
      </w:r>
      <w:r w:rsidR="00593150">
        <w:rPr>
          <w:rFonts w:ascii="Times New Roman" w:hAnsi="Times New Roman" w:cs="Times New Roman"/>
          <w:sz w:val="24"/>
          <w:szCs w:val="24"/>
        </w:rPr>
        <w:t xml:space="preserve"> US trade deficit</w:t>
      </w:r>
      <w:r w:rsidR="00D16B72">
        <w:rPr>
          <w:rFonts w:ascii="Times New Roman" w:hAnsi="Times New Roman" w:cs="Times New Roman"/>
          <w:sz w:val="24"/>
          <w:szCs w:val="24"/>
        </w:rPr>
        <w:t>, especially after China joined the WTO in 2001.</w:t>
      </w:r>
      <w:r w:rsidR="00593150">
        <w:rPr>
          <w:rFonts w:ascii="Times New Roman" w:hAnsi="Times New Roman" w:cs="Times New Roman"/>
          <w:sz w:val="24"/>
          <w:szCs w:val="24"/>
        </w:rPr>
        <w:t xml:space="preserve"> </w:t>
      </w:r>
      <w:r w:rsidR="00923CD7">
        <w:rPr>
          <w:rFonts w:ascii="Times New Roman" w:hAnsi="Times New Roman" w:cs="Times New Roman"/>
          <w:sz w:val="24"/>
          <w:szCs w:val="24"/>
        </w:rPr>
        <w:t>Moreover, the shift of merchandise production from the US to China substituted high-wage goods for low-wage ones, further constraining inflationary pressures.</w:t>
      </w:r>
    </w:p>
    <w:p w:rsidR="00F77B49" w:rsidRPr="00890316" w:rsidRDefault="00F77B49" w:rsidP="002677C2">
      <w:pPr>
        <w:spacing w:line="240" w:lineRule="auto"/>
        <w:contextualSpacing/>
        <w:rPr>
          <w:rFonts w:ascii="Times New Roman" w:hAnsi="Times New Roman" w:cs="Times New Roman"/>
          <w:sz w:val="24"/>
          <w:szCs w:val="24"/>
        </w:rPr>
      </w:pPr>
    </w:p>
    <w:p w:rsidR="001761C3" w:rsidRPr="00186DE4" w:rsidRDefault="00F77B49" w:rsidP="00186DE4">
      <w:pPr>
        <w:spacing w:line="240" w:lineRule="auto"/>
        <w:contextualSpacing/>
        <w:rPr>
          <w:rFonts w:ascii="Times New Roman" w:hAnsi="Times New Roman" w:cs="Times New Roman"/>
          <w:b/>
          <w:sz w:val="24"/>
          <w:szCs w:val="24"/>
        </w:rPr>
      </w:pPr>
      <w:r w:rsidRPr="00890316">
        <w:rPr>
          <w:rFonts w:ascii="Times New Roman" w:hAnsi="Times New Roman" w:cs="Times New Roman"/>
          <w:b/>
          <w:sz w:val="24"/>
          <w:szCs w:val="24"/>
        </w:rPr>
        <w:t>V. Conclusion</w:t>
      </w:r>
    </w:p>
    <w:p w:rsidR="00355CBD" w:rsidRDefault="00923CD7"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literature provides robust explanations for the dynamics of the dollar standard and its role in global trade imbalances, notably the US trade deficit. However, the vast majority of this </w:t>
      </w:r>
      <w:r>
        <w:rPr>
          <w:rFonts w:ascii="Times New Roman" w:hAnsi="Times New Roman" w:cs="Times New Roman"/>
          <w:sz w:val="24"/>
          <w:szCs w:val="24"/>
          <w:shd w:val="clear" w:color="auto" w:fill="FFFFFF"/>
        </w:rPr>
        <w:lastRenderedPageBreak/>
        <w:t xml:space="preserve">literature is economic in that analysts assume that the dollar standard and US trade deficit are results of market forces. This article substituted economic units of analysis (commodities and capital) for sociological ones (interacting groups of people). From this sociological perspective, an alternative account emerges. The dollar standard and US trade deficits were results of political, class-agency </w:t>
      </w:r>
      <w:r w:rsidR="00186DE4">
        <w:rPr>
          <w:rFonts w:ascii="Times New Roman" w:hAnsi="Times New Roman" w:cs="Times New Roman"/>
          <w:sz w:val="24"/>
          <w:szCs w:val="24"/>
          <w:shd w:val="clear" w:color="auto" w:fill="FFFFFF"/>
        </w:rPr>
        <w:t>based decisions</w:t>
      </w:r>
      <w:r w:rsidR="00B23B48">
        <w:rPr>
          <w:rFonts w:ascii="Times New Roman" w:hAnsi="Times New Roman" w:cs="Times New Roman"/>
          <w:sz w:val="24"/>
          <w:szCs w:val="24"/>
          <w:shd w:val="clear" w:color="auto" w:fill="FFFFFF"/>
        </w:rPr>
        <w:t>.</w:t>
      </w:r>
      <w:r w:rsidR="00186DE4">
        <w:rPr>
          <w:rFonts w:ascii="Times New Roman" w:hAnsi="Times New Roman" w:cs="Times New Roman"/>
          <w:sz w:val="24"/>
          <w:szCs w:val="24"/>
          <w:shd w:val="clear" w:color="auto" w:fill="FFFFFF"/>
        </w:rPr>
        <w:t xml:space="preserve"> </w:t>
      </w:r>
      <w:r w:rsidR="00B23B48">
        <w:rPr>
          <w:rFonts w:ascii="Times New Roman" w:hAnsi="Times New Roman" w:cs="Times New Roman"/>
          <w:sz w:val="24"/>
          <w:szCs w:val="24"/>
          <w:shd w:val="clear" w:color="auto" w:fill="FFFFFF"/>
        </w:rPr>
        <w:t>T</w:t>
      </w:r>
      <w:r w:rsidR="00186DE4">
        <w:rPr>
          <w:rFonts w:ascii="Times New Roman" w:hAnsi="Times New Roman" w:cs="Times New Roman"/>
          <w:sz w:val="24"/>
          <w:szCs w:val="24"/>
          <w:shd w:val="clear" w:color="auto" w:fill="FFFFFF"/>
        </w:rPr>
        <w:t>his article highlight</w:t>
      </w:r>
      <w:r w:rsidR="00D92D28">
        <w:rPr>
          <w:rFonts w:ascii="Times New Roman" w:hAnsi="Times New Roman" w:cs="Times New Roman"/>
          <w:sz w:val="24"/>
          <w:szCs w:val="24"/>
          <w:shd w:val="clear" w:color="auto" w:fill="FFFFFF"/>
        </w:rPr>
        <w:t>ed</w:t>
      </w:r>
      <w:r w:rsidR="00186DE4">
        <w:rPr>
          <w:rFonts w:ascii="Times New Roman" w:hAnsi="Times New Roman" w:cs="Times New Roman"/>
          <w:sz w:val="24"/>
          <w:szCs w:val="24"/>
          <w:shd w:val="clear" w:color="auto" w:fill="FFFFFF"/>
        </w:rPr>
        <w:t xml:space="preserve"> </w:t>
      </w:r>
      <w:r w:rsidR="00D92D28">
        <w:rPr>
          <w:rFonts w:ascii="Times New Roman" w:hAnsi="Times New Roman" w:cs="Times New Roman"/>
          <w:sz w:val="24"/>
          <w:szCs w:val="24"/>
          <w:shd w:val="clear" w:color="auto" w:fill="FFFFFF"/>
        </w:rPr>
        <w:t xml:space="preserve">this </w:t>
      </w:r>
      <w:r w:rsidR="00186DE4">
        <w:rPr>
          <w:rFonts w:ascii="Times New Roman" w:hAnsi="Times New Roman" w:cs="Times New Roman"/>
          <w:sz w:val="24"/>
          <w:szCs w:val="24"/>
          <w:shd w:val="clear" w:color="auto" w:fill="FFFFFF"/>
        </w:rPr>
        <w:t>by synthesizing main theories from sociology of money and applying</w:t>
      </w:r>
      <w:r w:rsidR="00D92D28">
        <w:rPr>
          <w:rFonts w:ascii="Times New Roman" w:hAnsi="Times New Roman" w:cs="Times New Roman"/>
          <w:sz w:val="24"/>
          <w:szCs w:val="24"/>
          <w:shd w:val="clear" w:color="auto" w:fill="FFFFFF"/>
        </w:rPr>
        <w:t xml:space="preserve"> it</w:t>
      </w:r>
      <w:r w:rsidR="00186DE4">
        <w:rPr>
          <w:rFonts w:ascii="Times New Roman" w:hAnsi="Times New Roman" w:cs="Times New Roman"/>
          <w:sz w:val="24"/>
          <w:szCs w:val="24"/>
          <w:shd w:val="clear" w:color="auto" w:fill="FFFFFF"/>
        </w:rPr>
        <w:t xml:space="preserve"> to the historical emergence of the dollar standard</w:t>
      </w:r>
      <w:r w:rsidR="00D92D28">
        <w:rPr>
          <w:rFonts w:ascii="Times New Roman" w:hAnsi="Times New Roman" w:cs="Times New Roman"/>
          <w:sz w:val="24"/>
          <w:szCs w:val="24"/>
          <w:shd w:val="clear" w:color="auto" w:fill="FFFFFF"/>
        </w:rPr>
        <w:t xml:space="preserve"> and trade imbalances</w:t>
      </w:r>
      <w:r w:rsidR="00186DE4">
        <w:rPr>
          <w:rFonts w:ascii="Times New Roman" w:hAnsi="Times New Roman" w:cs="Times New Roman"/>
          <w:sz w:val="24"/>
          <w:szCs w:val="24"/>
          <w:shd w:val="clear" w:color="auto" w:fill="FFFFFF"/>
        </w:rPr>
        <w:t xml:space="preserve">. </w:t>
      </w:r>
    </w:p>
    <w:p w:rsidR="00186DE4" w:rsidRDefault="00186DE4" w:rsidP="002677C2">
      <w:pPr>
        <w:spacing w:line="240" w:lineRule="auto"/>
        <w:ind w:firstLine="720"/>
        <w:contextualSpacing/>
        <w:rPr>
          <w:rFonts w:ascii="Times New Roman" w:hAnsi="Times New Roman" w:cs="Times New Roman"/>
          <w:sz w:val="24"/>
          <w:szCs w:val="24"/>
          <w:shd w:val="clear" w:color="auto" w:fill="FFFFFF"/>
        </w:rPr>
      </w:pPr>
    </w:p>
    <w:p w:rsidR="00B23B48" w:rsidRPr="00B23B48" w:rsidRDefault="00186DE4" w:rsidP="00B23B48">
      <w:pPr>
        <w:spacing w:line="240" w:lineRule="auto"/>
        <w:contextualSpacing/>
        <w:rPr>
          <w:rFonts w:ascii="Times New Roman" w:hAnsi="Times New Roman" w:cs="Times New Roman"/>
          <w:i/>
          <w:sz w:val="24"/>
          <w:szCs w:val="24"/>
          <w:shd w:val="clear" w:color="auto" w:fill="FFFFFF"/>
        </w:rPr>
      </w:pPr>
      <w:r w:rsidRPr="00B23B48">
        <w:rPr>
          <w:rFonts w:ascii="Times New Roman" w:hAnsi="Times New Roman" w:cs="Times New Roman"/>
          <w:i/>
          <w:sz w:val="24"/>
          <w:szCs w:val="24"/>
          <w:shd w:val="clear" w:color="auto" w:fill="FFFFFF"/>
        </w:rPr>
        <w:t>Towards a Unified Sociology of Money</w:t>
      </w:r>
      <w:r w:rsidR="00B23B48">
        <w:rPr>
          <w:rFonts w:ascii="Times New Roman" w:hAnsi="Times New Roman" w:cs="Times New Roman"/>
          <w:i/>
          <w:sz w:val="24"/>
          <w:szCs w:val="24"/>
          <w:shd w:val="clear" w:color="auto" w:fill="FFFFFF"/>
        </w:rPr>
        <w:t xml:space="preserve"> Explanation of the Dollar Standard</w:t>
      </w:r>
    </w:p>
    <w:p w:rsidR="00B23B48" w:rsidRDefault="00B23B48" w:rsidP="002677C2">
      <w:pPr>
        <w:spacing w:line="240" w:lineRule="auto"/>
        <w:ind w:firstLine="720"/>
        <w:contextualSpacing/>
        <w:rPr>
          <w:rFonts w:ascii="Times New Roman" w:hAnsi="Times New Roman" w:cs="Times New Roman"/>
          <w:sz w:val="24"/>
          <w:szCs w:val="24"/>
          <w:shd w:val="clear" w:color="auto" w:fill="FFFFFF"/>
        </w:rPr>
      </w:pPr>
      <w:r w:rsidRPr="00890316">
        <w:rPr>
          <w:rFonts w:ascii="Times New Roman" w:hAnsi="Times New Roman" w:cs="Times New Roman"/>
          <w:sz w:val="24"/>
          <w:szCs w:val="24"/>
          <w:shd w:val="clear" w:color="auto" w:fill="FFFFFF"/>
        </w:rPr>
        <w:t xml:space="preserve">Beginning with the </w:t>
      </w:r>
      <w:r>
        <w:rPr>
          <w:rFonts w:ascii="Times New Roman" w:hAnsi="Times New Roman" w:cs="Times New Roman"/>
          <w:sz w:val="24"/>
          <w:szCs w:val="24"/>
          <w:shd w:val="clear" w:color="auto" w:fill="FFFFFF"/>
        </w:rPr>
        <w:t>statist</w:t>
      </w:r>
      <w:r w:rsidRPr="00890316">
        <w:rPr>
          <w:rFonts w:ascii="Times New Roman" w:hAnsi="Times New Roman" w:cs="Times New Roman"/>
          <w:sz w:val="24"/>
          <w:szCs w:val="24"/>
          <w:shd w:val="clear" w:color="auto" w:fill="FFFFFF"/>
        </w:rPr>
        <w:t xml:space="preserve"> approach - contemporary money involves credit monetary systems that are state managed and based on state-backed liabilities.</w:t>
      </w:r>
      <w:r>
        <w:rPr>
          <w:rFonts w:ascii="Times New Roman" w:hAnsi="Times New Roman" w:cs="Times New Roman"/>
          <w:sz w:val="24"/>
          <w:szCs w:val="24"/>
          <w:shd w:val="clear" w:color="auto" w:fill="FFFFFF"/>
        </w:rPr>
        <w:t xml:space="preserve"> </w:t>
      </w:r>
      <w:r w:rsidR="0059492E">
        <w:rPr>
          <w:rFonts w:ascii="Times New Roman" w:hAnsi="Times New Roman" w:cs="Times New Roman"/>
          <w:sz w:val="24"/>
          <w:szCs w:val="24"/>
          <w:shd w:val="clear" w:color="auto" w:fill="FFFFFF"/>
        </w:rPr>
        <w:t>The value of money is determined by the balance of political power between creditors and debt</w:t>
      </w:r>
      <w:r>
        <w:rPr>
          <w:rFonts w:ascii="Times New Roman" w:hAnsi="Times New Roman" w:cs="Times New Roman"/>
          <w:sz w:val="24"/>
          <w:szCs w:val="24"/>
          <w:shd w:val="clear" w:color="auto" w:fill="FFFFFF"/>
        </w:rPr>
        <w:t>or</w:t>
      </w:r>
      <w:r w:rsidR="0059492E">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therefore, the political exigency of low-inflation is enforced by the political subordination of debtors to creditors.</w:t>
      </w:r>
      <w:r w:rsidR="0059492E">
        <w:rPr>
          <w:rFonts w:ascii="Times New Roman" w:hAnsi="Times New Roman" w:cs="Times New Roman"/>
          <w:sz w:val="24"/>
          <w:szCs w:val="24"/>
          <w:shd w:val="clear" w:color="auto" w:fill="FFFFFF"/>
        </w:rPr>
        <w:t xml:space="preserve"> </w:t>
      </w:r>
    </w:p>
    <w:p w:rsidR="00B23B48" w:rsidRDefault="0059492E" w:rsidP="002677C2">
      <w:pPr>
        <w:spacing w:line="240" w:lineRule="auto"/>
        <w:ind w:firstLine="720"/>
        <w:contextualSpacing/>
        <w:rPr>
          <w:rFonts w:ascii="Times New Roman" w:hAnsi="Times New Roman" w:cs="Times New Roman"/>
          <w:sz w:val="24"/>
          <w:szCs w:val="24"/>
          <w:shd w:val="clear" w:color="auto" w:fill="FFFFFF"/>
        </w:rPr>
      </w:pPr>
      <w:r w:rsidRPr="00890316">
        <w:rPr>
          <w:rFonts w:ascii="Times New Roman" w:hAnsi="Times New Roman" w:cs="Times New Roman"/>
          <w:sz w:val="24"/>
          <w:szCs w:val="24"/>
          <w:shd w:val="clear" w:color="auto" w:fill="FFFFFF"/>
        </w:rPr>
        <w:t xml:space="preserve">Yet this does not explain the basis for credit-money’s ability to buy. The </w:t>
      </w:r>
      <w:r>
        <w:rPr>
          <w:rFonts w:ascii="Times New Roman" w:hAnsi="Times New Roman" w:cs="Times New Roman"/>
          <w:sz w:val="24"/>
          <w:szCs w:val="24"/>
          <w:shd w:val="clear" w:color="auto" w:fill="FFFFFF"/>
        </w:rPr>
        <w:t>Marxian approache</w:t>
      </w:r>
      <w:r w:rsidRPr="00890316">
        <w:rPr>
          <w:rFonts w:ascii="Times New Roman" w:hAnsi="Times New Roman" w:cs="Times New Roman"/>
          <w:sz w:val="24"/>
          <w:szCs w:val="24"/>
          <w:shd w:val="clear" w:color="auto" w:fill="FFFFFF"/>
        </w:rPr>
        <w:t xml:space="preserve">s provide that while the </w:t>
      </w:r>
      <w:r>
        <w:rPr>
          <w:rFonts w:ascii="Times New Roman" w:hAnsi="Times New Roman" w:cs="Times New Roman"/>
          <w:sz w:val="24"/>
          <w:szCs w:val="24"/>
          <w:shd w:val="clear" w:color="auto" w:fill="FFFFFF"/>
        </w:rPr>
        <w:t>US</w:t>
      </w:r>
      <w:r w:rsidRPr="00890316">
        <w:rPr>
          <w:rFonts w:ascii="Times New Roman" w:hAnsi="Times New Roman" w:cs="Times New Roman"/>
          <w:sz w:val="24"/>
          <w:szCs w:val="24"/>
          <w:shd w:val="clear" w:color="auto" w:fill="FFFFFF"/>
        </w:rPr>
        <w:t xml:space="preserve"> dollar has the ultimate ability to buy, this property is the result of social and political creditor-debtor relations rather than the state. This offers an approach to understanding </w:t>
      </w:r>
      <w:r>
        <w:rPr>
          <w:rFonts w:ascii="Times New Roman" w:hAnsi="Times New Roman" w:cs="Times New Roman"/>
          <w:sz w:val="24"/>
          <w:szCs w:val="24"/>
          <w:shd w:val="clear" w:color="auto" w:fill="FFFFFF"/>
        </w:rPr>
        <w:t>reasons that</w:t>
      </w:r>
      <w:r w:rsidRPr="00890316">
        <w:rPr>
          <w:rFonts w:ascii="Times New Roman" w:hAnsi="Times New Roman" w:cs="Times New Roman"/>
          <w:sz w:val="24"/>
          <w:szCs w:val="24"/>
          <w:shd w:val="clear" w:color="auto" w:fill="FFFFFF"/>
        </w:rPr>
        <w:t xml:space="preserve"> competitive agents desire dollars over other currencies</w:t>
      </w:r>
      <w:r w:rsidR="00B23B48">
        <w:rPr>
          <w:rFonts w:ascii="Times New Roman" w:hAnsi="Times New Roman" w:cs="Times New Roman"/>
          <w:sz w:val="24"/>
          <w:szCs w:val="24"/>
          <w:shd w:val="clear" w:color="auto" w:fill="FFFFFF"/>
        </w:rPr>
        <w:t>. This uniqueness of the US dollar confers economic and political advantages to the US as much as it reinforces those advantages, including the dollar standard</w:t>
      </w:r>
      <w:r w:rsidRPr="00890316">
        <w:rPr>
          <w:rFonts w:ascii="Times New Roman" w:hAnsi="Times New Roman" w:cs="Times New Roman"/>
          <w:sz w:val="24"/>
          <w:szCs w:val="24"/>
          <w:shd w:val="clear" w:color="auto" w:fill="FFFFFF"/>
        </w:rPr>
        <w:t>.</w:t>
      </w:r>
      <w:r w:rsidR="00B23B48">
        <w:rPr>
          <w:rFonts w:ascii="Times New Roman" w:hAnsi="Times New Roman" w:cs="Times New Roman"/>
          <w:sz w:val="24"/>
          <w:szCs w:val="24"/>
          <w:shd w:val="clear" w:color="auto" w:fill="FFFFFF"/>
        </w:rPr>
        <w:t xml:space="preserve"> </w:t>
      </w:r>
    </w:p>
    <w:p w:rsidR="0059492E" w:rsidRDefault="00B23B48"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sociocultural school holds that money is a diverse as human civilizations are diverse, and therefore meanings of money and their circuits are context-specific. This is demonstrated by individual and group decisions to “earmark” stocks and flows of money. </w:t>
      </w:r>
      <w:r w:rsidR="00345D11">
        <w:rPr>
          <w:rFonts w:ascii="Times New Roman" w:hAnsi="Times New Roman" w:cs="Times New Roman"/>
          <w:sz w:val="24"/>
          <w:szCs w:val="24"/>
          <w:shd w:val="clear" w:color="auto" w:fill="FFFFFF"/>
        </w:rPr>
        <w:t xml:space="preserve">On the surface, the decision of official and private actors to hoard </w:t>
      </w:r>
      <w:r>
        <w:rPr>
          <w:rFonts w:ascii="Times New Roman" w:hAnsi="Times New Roman" w:cs="Times New Roman"/>
          <w:sz w:val="24"/>
          <w:szCs w:val="24"/>
          <w:shd w:val="clear" w:color="auto" w:fill="FFFFFF"/>
        </w:rPr>
        <w:t xml:space="preserve">dollar reserves </w:t>
      </w:r>
      <w:r w:rsidR="00345D11">
        <w:rPr>
          <w:rFonts w:ascii="Times New Roman" w:hAnsi="Times New Roman" w:cs="Times New Roman"/>
          <w:sz w:val="24"/>
          <w:szCs w:val="24"/>
          <w:shd w:val="clear" w:color="auto" w:fill="FFFFFF"/>
        </w:rPr>
        <w:t xml:space="preserve">serves to maintain the dollar standard, but the sociocultural perspective demonstrates that these decisions are context-specific to the social and political relations of these circuits US treasury securities. </w:t>
      </w:r>
    </w:p>
    <w:p w:rsidR="009B64C3" w:rsidRDefault="009B64C3" w:rsidP="002677C2">
      <w:pPr>
        <w:spacing w:line="240" w:lineRule="auto"/>
        <w:contextualSpacing/>
        <w:rPr>
          <w:rFonts w:ascii="Times New Roman" w:hAnsi="Times New Roman" w:cs="Times New Roman"/>
          <w:i/>
          <w:sz w:val="24"/>
          <w:szCs w:val="24"/>
        </w:rPr>
      </w:pPr>
    </w:p>
    <w:p w:rsidR="00345D11" w:rsidRPr="00D92D28" w:rsidRDefault="00D92D28" w:rsidP="00D92D2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Class-Agency</w:t>
      </w:r>
      <w:r w:rsidR="00F77B49" w:rsidRPr="00890316">
        <w:rPr>
          <w:rFonts w:ascii="Times New Roman" w:hAnsi="Times New Roman" w:cs="Times New Roman"/>
          <w:i/>
          <w:sz w:val="24"/>
          <w:szCs w:val="24"/>
        </w:rPr>
        <w:t xml:space="preserve"> Drivers of the </w:t>
      </w:r>
      <w:r>
        <w:rPr>
          <w:rFonts w:ascii="Times New Roman" w:hAnsi="Times New Roman" w:cs="Times New Roman"/>
          <w:i/>
          <w:sz w:val="24"/>
          <w:szCs w:val="24"/>
        </w:rPr>
        <w:t xml:space="preserve">Dollar Standard and </w:t>
      </w:r>
      <w:r w:rsidR="000014D7">
        <w:rPr>
          <w:rFonts w:ascii="Times New Roman" w:hAnsi="Times New Roman" w:cs="Times New Roman"/>
          <w:i/>
          <w:sz w:val="24"/>
          <w:szCs w:val="24"/>
        </w:rPr>
        <w:t>US</w:t>
      </w:r>
      <w:r w:rsidR="00F77B49" w:rsidRPr="00890316">
        <w:rPr>
          <w:rFonts w:ascii="Times New Roman" w:hAnsi="Times New Roman" w:cs="Times New Roman"/>
          <w:i/>
          <w:sz w:val="24"/>
          <w:szCs w:val="24"/>
        </w:rPr>
        <w:t xml:space="preserve"> Trade Deficit</w:t>
      </w:r>
    </w:p>
    <w:p w:rsidR="00F77B49" w:rsidRPr="00890316" w:rsidRDefault="00D92D28" w:rsidP="002677C2">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the US trade balance shifted from surplus to deficit t</w:t>
      </w:r>
      <w:r w:rsidR="00F77B49" w:rsidRPr="00890316">
        <w:rPr>
          <w:rFonts w:ascii="Times New Roman" w:hAnsi="Times New Roman" w:cs="Times New Roman"/>
          <w:sz w:val="24"/>
          <w:szCs w:val="24"/>
          <w:shd w:val="clear" w:color="auto" w:fill="FFFFFF"/>
        </w:rPr>
        <w:t xml:space="preserve">hroughout the 1960s and 70s, the </w:t>
      </w:r>
      <w:r w:rsidR="000014D7">
        <w:rPr>
          <w:rFonts w:ascii="Times New Roman" w:hAnsi="Times New Roman" w:cs="Times New Roman"/>
          <w:sz w:val="24"/>
          <w:szCs w:val="24"/>
          <w:shd w:val="clear" w:color="auto" w:fill="FFFFFF"/>
        </w:rPr>
        <w:t>US</w:t>
      </w:r>
      <w:r w:rsidR="00F77B49" w:rsidRPr="00890316">
        <w:rPr>
          <w:rFonts w:ascii="Times New Roman" w:hAnsi="Times New Roman" w:cs="Times New Roman"/>
          <w:sz w:val="24"/>
          <w:szCs w:val="24"/>
          <w:shd w:val="clear" w:color="auto" w:fill="FFFFFF"/>
        </w:rPr>
        <w:t xml:space="preserve"> Treasury never prioritized reducing the </w:t>
      </w:r>
      <w:r w:rsidR="000014D7">
        <w:rPr>
          <w:rFonts w:ascii="Times New Roman" w:hAnsi="Times New Roman" w:cs="Times New Roman"/>
          <w:sz w:val="24"/>
          <w:szCs w:val="24"/>
          <w:shd w:val="clear" w:color="auto" w:fill="FFFFFF"/>
        </w:rPr>
        <w:t>US</w:t>
      </w:r>
      <w:r w:rsidR="00F77B49" w:rsidRPr="00890316">
        <w:rPr>
          <w:rFonts w:ascii="Times New Roman" w:hAnsi="Times New Roman" w:cs="Times New Roman"/>
          <w:sz w:val="24"/>
          <w:szCs w:val="24"/>
          <w:shd w:val="clear" w:color="auto" w:fill="FFFFFF"/>
        </w:rPr>
        <w:t xml:space="preserve"> trade deficit, they sought to finance it. They did so with unilateral and multilateral policy decisions to facilitate an international settlements system based on the </w:t>
      </w:r>
      <w:r w:rsidR="000014D7">
        <w:rPr>
          <w:rFonts w:ascii="Times New Roman" w:hAnsi="Times New Roman" w:cs="Times New Roman"/>
          <w:sz w:val="24"/>
          <w:szCs w:val="24"/>
          <w:shd w:val="clear" w:color="auto" w:fill="FFFFFF"/>
        </w:rPr>
        <w:t>US</w:t>
      </w:r>
      <w:r w:rsidR="00F77B49" w:rsidRPr="00890316">
        <w:rPr>
          <w:rFonts w:ascii="Times New Roman" w:hAnsi="Times New Roman" w:cs="Times New Roman"/>
          <w:sz w:val="24"/>
          <w:szCs w:val="24"/>
          <w:shd w:val="clear" w:color="auto" w:fill="FFFFFF"/>
        </w:rPr>
        <w:t xml:space="preserve"> dollar. In so doing, the </w:t>
      </w:r>
      <w:r w:rsidR="00345D11">
        <w:rPr>
          <w:rFonts w:ascii="Times New Roman" w:hAnsi="Times New Roman" w:cs="Times New Roman"/>
          <w:sz w:val="24"/>
          <w:szCs w:val="24"/>
          <w:shd w:val="clear" w:color="auto" w:fill="FFFFFF"/>
        </w:rPr>
        <w:t>dollar standard f</w:t>
      </w:r>
      <w:r w:rsidR="00F77B49" w:rsidRPr="00890316">
        <w:rPr>
          <w:rFonts w:ascii="Times New Roman" w:hAnsi="Times New Roman" w:cs="Times New Roman"/>
          <w:sz w:val="24"/>
          <w:szCs w:val="24"/>
          <w:shd w:val="clear" w:color="auto" w:fill="FFFFFF"/>
        </w:rPr>
        <w:t>inanc</w:t>
      </w:r>
      <w:r w:rsidR="00345D11">
        <w:rPr>
          <w:rFonts w:ascii="Times New Roman" w:hAnsi="Times New Roman" w:cs="Times New Roman"/>
          <w:sz w:val="24"/>
          <w:szCs w:val="24"/>
          <w:shd w:val="clear" w:color="auto" w:fill="FFFFFF"/>
        </w:rPr>
        <w:t>es</w:t>
      </w:r>
      <w:r w:rsidR="00F77B49" w:rsidRPr="00890316">
        <w:rPr>
          <w:rFonts w:ascii="Times New Roman" w:hAnsi="Times New Roman" w:cs="Times New Roman"/>
          <w:sz w:val="24"/>
          <w:szCs w:val="24"/>
          <w:shd w:val="clear" w:color="auto" w:fill="FFFFFF"/>
        </w:rPr>
        <w:t xml:space="preserve"> and perpetuat</w:t>
      </w:r>
      <w:r w:rsidR="00345D11">
        <w:rPr>
          <w:rFonts w:ascii="Times New Roman" w:hAnsi="Times New Roman" w:cs="Times New Roman"/>
          <w:sz w:val="24"/>
          <w:szCs w:val="24"/>
          <w:shd w:val="clear" w:color="auto" w:fill="FFFFFF"/>
        </w:rPr>
        <w:t>es</w:t>
      </w:r>
      <w:r w:rsidR="00F77B49" w:rsidRPr="00890316">
        <w:rPr>
          <w:rFonts w:ascii="Times New Roman" w:hAnsi="Times New Roman" w:cs="Times New Roman"/>
          <w:sz w:val="24"/>
          <w:szCs w:val="24"/>
          <w:shd w:val="clear" w:color="auto" w:fill="FFFFFF"/>
        </w:rPr>
        <w:t xml:space="preserve"> </w:t>
      </w:r>
      <w:r w:rsidR="000014D7">
        <w:rPr>
          <w:rFonts w:ascii="Times New Roman" w:hAnsi="Times New Roman" w:cs="Times New Roman"/>
          <w:sz w:val="24"/>
          <w:szCs w:val="24"/>
          <w:shd w:val="clear" w:color="auto" w:fill="FFFFFF"/>
        </w:rPr>
        <w:t>US</w:t>
      </w:r>
      <w:r w:rsidR="00F77B49" w:rsidRPr="00890316">
        <w:rPr>
          <w:rFonts w:ascii="Times New Roman" w:hAnsi="Times New Roman" w:cs="Times New Roman"/>
          <w:sz w:val="24"/>
          <w:szCs w:val="24"/>
          <w:shd w:val="clear" w:color="auto" w:fill="FFFFFF"/>
        </w:rPr>
        <w:t xml:space="preserve"> </w:t>
      </w:r>
      <w:r w:rsidR="00FF5A3B">
        <w:rPr>
          <w:rFonts w:ascii="Times New Roman" w:hAnsi="Times New Roman" w:cs="Times New Roman"/>
          <w:sz w:val="24"/>
          <w:szCs w:val="24"/>
          <w:shd w:val="clear" w:color="auto" w:fill="FFFFFF"/>
        </w:rPr>
        <w:t>trade</w:t>
      </w:r>
      <w:r w:rsidR="00F77B49" w:rsidRPr="00890316">
        <w:rPr>
          <w:rFonts w:ascii="Times New Roman" w:hAnsi="Times New Roman" w:cs="Times New Roman"/>
          <w:sz w:val="24"/>
          <w:szCs w:val="24"/>
          <w:shd w:val="clear" w:color="auto" w:fill="FFFFFF"/>
        </w:rPr>
        <w:t xml:space="preserve"> deficits. The Volcker Group offered the premise, </w:t>
      </w:r>
    </w:p>
    <w:p w:rsidR="00F77B49" w:rsidRPr="00890316" w:rsidRDefault="00F77B49" w:rsidP="002677C2">
      <w:pPr>
        <w:spacing w:line="240" w:lineRule="auto"/>
        <w:ind w:left="720" w:right="720" w:firstLine="720"/>
        <w:contextualSpacing/>
        <w:rPr>
          <w:rFonts w:ascii="Times New Roman" w:hAnsi="Times New Roman" w:cs="Times New Roman"/>
          <w:sz w:val="24"/>
          <w:szCs w:val="24"/>
        </w:rPr>
      </w:pPr>
      <w:r w:rsidRPr="00890316">
        <w:rPr>
          <w:rFonts w:ascii="Times New Roman" w:hAnsi="Times New Roman" w:cs="Times New Roman"/>
          <w:sz w:val="24"/>
          <w:szCs w:val="24"/>
          <w:shd w:val="clear" w:color="auto" w:fill="FFFFFF"/>
        </w:rPr>
        <w:t>“</w:t>
      </w:r>
      <w:r w:rsidRPr="00890316">
        <w:rPr>
          <w:rFonts w:ascii="Times New Roman" w:hAnsi="Times New Roman" w:cs="Times New Roman"/>
          <w:sz w:val="24"/>
          <w:szCs w:val="24"/>
        </w:rPr>
        <w:t xml:space="preserve">As a starting point it must be recognized that no international monetary arrangement can permit the United States (or any country) to escape ‘external’ constraints entirely or indefinitely. A tendency to spend or invest more abroad than other countries want to invest or spend (or leave on deposit) in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will, sooner or later, need to be corrected” (1969: 12). </w:t>
      </w:r>
    </w:p>
    <w:p w:rsidR="00FF5A3B" w:rsidRDefault="00F77B49" w:rsidP="002677C2">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As the balance of payments is the sum of the capital account and the current account, throughout the 1960s the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was tending towards negative capital and current accounts and therefore faced unsustainable balance of payments deficits. </w:t>
      </w:r>
      <w:r w:rsidR="000014D7">
        <w:rPr>
          <w:rFonts w:ascii="Times New Roman" w:hAnsi="Times New Roman" w:cs="Times New Roman"/>
          <w:sz w:val="24"/>
          <w:szCs w:val="24"/>
        </w:rPr>
        <w:t>US</w:t>
      </w:r>
      <w:r w:rsidRPr="00890316">
        <w:rPr>
          <w:rFonts w:ascii="Times New Roman" w:hAnsi="Times New Roman" w:cs="Times New Roman"/>
          <w:sz w:val="24"/>
          <w:szCs w:val="24"/>
        </w:rPr>
        <w:t xml:space="preserve"> Treasury officials sought to turn the capital account positive to equalize the negative current account. </w:t>
      </w:r>
    </w:p>
    <w:p w:rsidR="008553FF" w:rsidRDefault="00F77B49" w:rsidP="008553FF">
      <w:pPr>
        <w:spacing w:line="240" w:lineRule="auto"/>
        <w:ind w:firstLine="720"/>
        <w:contextualSpacing/>
        <w:rPr>
          <w:rFonts w:ascii="Times New Roman" w:hAnsi="Times New Roman" w:cs="Times New Roman"/>
          <w:sz w:val="24"/>
          <w:szCs w:val="24"/>
        </w:rPr>
      </w:pPr>
      <w:r w:rsidRPr="00890316">
        <w:rPr>
          <w:rFonts w:ascii="Times New Roman" w:hAnsi="Times New Roman" w:cs="Times New Roman"/>
          <w:sz w:val="24"/>
          <w:szCs w:val="24"/>
        </w:rPr>
        <w:t xml:space="preserve">They engineered this by inducing the rest of the world to hold dollars instead of gold as reserves and </w:t>
      </w:r>
      <w:r w:rsidR="00191BC5">
        <w:rPr>
          <w:rFonts w:ascii="Times New Roman" w:hAnsi="Times New Roman" w:cs="Times New Roman"/>
          <w:sz w:val="24"/>
          <w:szCs w:val="24"/>
        </w:rPr>
        <w:t xml:space="preserve">then </w:t>
      </w:r>
      <w:r w:rsidRPr="00890316">
        <w:rPr>
          <w:rFonts w:ascii="Times New Roman" w:hAnsi="Times New Roman" w:cs="Times New Roman"/>
          <w:sz w:val="24"/>
          <w:szCs w:val="24"/>
        </w:rPr>
        <w:t xml:space="preserve">taming domestic inflation. </w:t>
      </w:r>
      <w:r w:rsidR="008553FF">
        <w:rPr>
          <w:rFonts w:ascii="Times New Roman" w:hAnsi="Times New Roman" w:cs="Times New Roman"/>
          <w:sz w:val="24"/>
          <w:szCs w:val="24"/>
        </w:rPr>
        <w:t xml:space="preserve">The Nixon administration broke the dollar-gold link, but the rest of the world had to want to hold dollars as reserves in relation to all other global assets. </w:t>
      </w:r>
      <w:r w:rsidR="00D92D28" w:rsidRPr="00890316">
        <w:rPr>
          <w:rFonts w:ascii="Times New Roman" w:hAnsi="Times New Roman" w:cs="Times New Roman"/>
          <w:sz w:val="24"/>
          <w:szCs w:val="24"/>
          <w:shd w:val="clear" w:color="auto" w:fill="FFFFFF"/>
        </w:rPr>
        <w:t>I</w:t>
      </w:r>
      <w:r w:rsidR="00D92D28" w:rsidRPr="00890316">
        <w:rPr>
          <w:rFonts w:ascii="Times New Roman" w:hAnsi="Times New Roman" w:cs="Times New Roman"/>
          <w:sz w:val="24"/>
          <w:szCs w:val="24"/>
        </w:rPr>
        <w:t xml:space="preserve">n the final analysis, the dollar standard is sustained </w:t>
      </w:r>
      <w:r w:rsidR="008553FF">
        <w:rPr>
          <w:rFonts w:ascii="Times New Roman" w:hAnsi="Times New Roman" w:cs="Times New Roman"/>
          <w:sz w:val="24"/>
          <w:szCs w:val="24"/>
        </w:rPr>
        <w:t xml:space="preserve">by </w:t>
      </w:r>
      <w:r w:rsidR="00191BC5">
        <w:rPr>
          <w:rFonts w:ascii="Times New Roman" w:hAnsi="Times New Roman" w:cs="Times New Roman"/>
          <w:sz w:val="24"/>
          <w:szCs w:val="24"/>
        </w:rPr>
        <w:t xml:space="preserve">domestic and international power </w:t>
      </w:r>
      <w:r w:rsidR="00191BC5">
        <w:rPr>
          <w:rFonts w:ascii="Times New Roman" w:hAnsi="Times New Roman" w:cs="Times New Roman"/>
          <w:sz w:val="24"/>
          <w:szCs w:val="24"/>
        </w:rPr>
        <w:lastRenderedPageBreak/>
        <w:t>relations in</w:t>
      </w:r>
      <w:r w:rsidR="008553FF">
        <w:rPr>
          <w:rFonts w:ascii="Times New Roman" w:hAnsi="Times New Roman" w:cs="Times New Roman"/>
          <w:sz w:val="24"/>
          <w:szCs w:val="24"/>
        </w:rPr>
        <w:t xml:space="preserve"> (1)</w:t>
      </w:r>
      <w:r w:rsidR="00D92D28" w:rsidRPr="00890316">
        <w:rPr>
          <w:rFonts w:ascii="Times New Roman" w:hAnsi="Times New Roman" w:cs="Times New Roman"/>
          <w:sz w:val="24"/>
          <w:szCs w:val="24"/>
        </w:rPr>
        <w:t xml:space="preserve"> </w:t>
      </w:r>
      <w:r w:rsidR="00D92D28">
        <w:rPr>
          <w:rFonts w:ascii="Times New Roman" w:hAnsi="Times New Roman" w:cs="Times New Roman"/>
          <w:sz w:val="24"/>
          <w:szCs w:val="24"/>
        </w:rPr>
        <w:t>US</w:t>
      </w:r>
      <w:r w:rsidR="00D92D28" w:rsidRPr="00890316">
        <w:rPr>
          <w:rFonts w:ascii="Times New Roman" w:hAnsi="Times New Roman" w:cs="Times New Roman"/>
          <w:sz w:val="24"/>
          <w:szCs w:val="24"/>
        </w:rPr>
        <w:t xml:space="preserve"> financial markets</w:t>
      </w:r>
      <w:r w:rsidR="008553FF">
        <w:rPr>
          <w:rFonts w:ascii="Times New Roman" w:hAnsi="Times New Roman" w:cs="Times New Roman"/>
          <w:sz w:val="24"/>
          <w:szCs w:val="24"/>
        </w:rPr>
        <w:t>, (2) low domestic inflation, and (3) the new geography of production</w:t>
      </w:r>
      <w:r w:rsidR="00D92D28" w:rsidRPr="00890316">
        <w:rPr>
          <w:rFonts w:ascii="Times New Roman" w:hAnsi="Times New Roman" w:cs="Times New Roman"/>
          <w:sz w:val="24"/>
          <w:szCs w:val="24"/>
        </w:rPr>
        <w:t xml:space="preserve">. </w:t>
      </w:r>
    </w:p>
    <w:p w:rsidR="00166547" w:rsidRDefault="001029A7" w:rsidP="00166547">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Central banks and market actors hoard dollar reserves rather than other currencies due to the unparalleled size, breadth, and liquidity of </w:t>
      </w:r>
      <w:r w:rsidRPr="00890316">
        <w:rPr>
          <w:rFonts w:ascii="Times New Roman" w:hAnsi="Times New Roman" w:cs="Times New Roman"/>
          <w:sz w:val="24"/>
          <w:szCs w:val="24"/>
          <w:shd w:val="clear" w:color="auto" w:fill="FFFFFF"/>
        </w:rPr>
        <w:t>dollar-denominated financial markets</w:t>
      </w:r>
      <w:r>
        <w:rPr>
          <w:rFonts w:ascii="Times New Roman" w:hAnsi="Times New Roman" w:cs="Times New Roman"/>
          <w:sz w:val="24"/>
          <w:szCs w:val="24"/>
        </w:rPr>
        <w:t xml:space="preserve">. </w:t>
      </w:r>
      <w:r w:rsidRPr="00890316">
        <w:rPr>
          <w:rFonts w:ascii="Times New Roman" w:hAnsi="Times New Roman" w:cs="Times New Roman"/>
          <w:sz w:val="24"/>
          <w:szCs w:val="24"/>
        </w:rPr>
        <w:t xml:space="preserve">This was recognized by the Volcker Group in 1969, </w:t>
      </w:r>
      <w:r w:rsidRPr="00890316">
        <w:rPr>
          <w:rFonts w:ascii="Times New Roman" w:hAnsi="Times New Roman" w:cs="Times New Roman"/>
          <w:sz w:val="24"/>
          <w:szCs w:val="24"/>
          <w:shd w:val="clear" w:color="auto" w:fill="FFFFFF"/>
        </w:rPr>
        <w:t xml:space="preserve">“Foreign official short- and medium-term dollar holdings…and foreign private dollar holdings…are serviced by a complex and highly developed set of banking, investment, and trading facilities both in the </w:t>
      </w:r>
      <w:r>
        <w:rPr>
          <w:rFonts w:ascii="Times New Roman" w:hAnsi="Times New Roman" w:cs="Times New Roman"/>
          <w:sz w:val="24"/>
          <w:szCs w:val="24"/>
          <w:shd w:val="clear" w:color="auto" w:fill="FFFFFF"/>
        </w:rPr>
        <w:t>US</w:t>
      </w:r>
      <w:r w:rsidRPr="00890316">
        <w:rPr>
          <w:rFonts w:ascii="Times New Roman" w:hAnsi="Times New Roman" w:cs="Times New Roman"/>
          <w:sz w:val="24"/>
          <w:szCs w:val="24"/>
          <w:shd w:val="clear" w:color="auto" w:fill="FFFFFF"/>
        </w:rPr>
        <w:t xml:space="preserve"> and Europe” (1969: 5).</w:t>
      </w:r>
      <w:r w:rsidRPr="00890316">
        <w:rPr>
          <w:rFonts w:ascii="Times New Roman" w:hAnsi="Times New Roman" w:cs="Times New Roman"/>
          <w:sz w:val="24"/>
          <w:szCs w:val="24"/>
        </w:rPr>
        <w:t xml:space="preserve"> </w:t>
      </w:r>
      <w:r>
        <w:rPr>
          <w:rFonts w:ascii="Times New Roman" w:hAnsi="Times New Roman" w:cs="Times New Roman"/>
          <w:sz w:val="24"/>
          <w:szCs w:val="24"/>
        </w:rPr>
        <w:t xml:space="preserve">However, the financial power of the US is the result of power asymmetries between the US and the rest of the world. After WWII, the US unilaterally placed the dollar at the center of the international settlements system, over the objection of the allied powers. US financial markets vastly expanded within New Deal framework, while less regulated dollar-denominated markets grew in Europe. </w:t>
      </w:r>
      <w:r w:rsidR="00D92D28" w:rsidRPr="00890316">
        <w:rPr>
          <w:rFonts w:ascii="Times New Roman" w:hAnsi="Times New Roman" w:cs="Times New Roman"/>
          <w:sz w:val="24"/>
          <w:szCs w:val="24"/>
          <w:shd w:val="clear" w:color="auto" w:fill="FFFFFF"/>
        </w:rPr>
        <w:t xml:space="preserve">This </w:t>
      </w:r>
      <w:r w:rsidR="00005ABA">
        <w:rPr>
          <w:rFonts w:ascii="Times New Roman" w:hAnsi="Times New Roman" w:cs="Times New Roman"/>
          <w:sz w:val="24"/>
          <w:szCs w:val="24"/>
          <w:shd w:val="clear" w:color="auto" w:fill="FFFFFF"/>
        </w:rPr>
        <w:t>wa</w:t>
      </w:r>
      <w:r w:rsidR="00D92D28" w:rsidRPr="00890316">
        <w:rPr>
          <w:rFonts w:ascii="Times New Roman" w:hAnsi="Times New Roman" w:cs="Times New Roman"/>
          <w:sz w:val="24"/>
          <w:szCs w:val="24"/>
          <w:shd w:val="clear" w:color="auto" w:fill="FFFFFF"/>
        </w:rPr>
        <w:t xml:space="preserve">s sustained by the role of </w:t>
      </w:r>
      <w:r w:rsidR="00D92D28">
        <w:rPr>
          <w:rFonts w:ascii="Times New Roman" w:hAnsi="Times New Roman" w:cs="Times New Roman"/>
          <w:sz w:val="24"/>
          <w:szCs w:val="24"/>
          <w:shd w:val="clear" w:color="auto" w:fill="FFFFFF"/>
        </w:rPr>
        <w:t>US</w:t>
      </w:r>
      <w:r w:rsidR="00D92D28" w:rsidRPr="00890316">
        <w:rPr>
          <w:rFonts w:ascii="Times New Roman" w:hAnsi="Times New Roman" w:cs="Times New Roman"/>
          <w:sz w:val="24"/>
          <w:szCs w:val="24"/>
          <w:shd w:val="clear" w:color="auto" w:fill="FFFFFF"/>
        </w:rPr>
        <w:t xml:space="preserve"> Treasury bill in global finance (</w:t>
      </w:r>
      <w:proofErr w:type="spellStart"/>
      <w:r w:rsidR="00D92D28" w:rsidRPr="00890316">
        <w:rPr>
          <w:rFonts w:ascii="Times New Roman" w:hAnsi="Times New Roman" w:cs="Times New Roman"/>
          <w:sz w:val="24"/>
          <w:szCs w:val="24"/>
          <w:shd w:val="clear" w:color="auto" w:fill="FFFFFF"/>
        </w:rPr>
        <w:t>Schinasi</w:t>
      </w:r>
      <w:proofErr w:type="spellEnd"/>
      <w:r w:rsidR="00D92D28" w:rsidRPr="00890316">
        <w:rPr>
          <w:rFonts w:ascii="Times New Roman" w:hAnsi="Times New Roman" w:cs="Times New Roman"/>
          <w:sz w:val="24"/>
          <w:szCs w:val="24"/>
          <w:shd w:val="clear" w:color="auto" w:fill="FFFFFF"/>
        </w:rPr>
        <w:t xml:space="preserve"> et al. 2001). </w:t>
      </w:r>
      <w:r w:rsidR="00005ABA">
        <w:rPr>
          <w:rFonts w:ascii="Times New Roman" w:hAnsi="Times New Roman" w:cs="Times New Roman"/>
          <w:sz w:val="24"/>
          <w:szCs w:val="24"/>
          <w:shd w:val="clear" w:color="auto" w:fill="FFFFFF"/>
        </w:rPr>
        <w:t xml:space="preserve">Therefore, </w:t>
      </w:r>
      <w:r w:rsidR="00005ABA" w:rsidRPr="00890316">
        <w:rPr>
          <w:rFonts w:ascii="Times New Roman" w:hAnsi="Times New Roman" w:cs="Times New Roman"/>
          <w:sz w:val="24"/>
          <w:szCs w:val="24"/>
          <w:shd w:val="clear" w:color="auto" w:fill="FFFFFF"/>
        </w:rPr>
        <w:t xml:space="preserve">the Nixon administration’s </w:t>
      </w:r>
      <w:r w:rsidR="00005ABA">
        <w:rPr>
          <w:rFonts w:ascii="Times New Roman" w:hAnsi="Times New Roman" w:cs="Times New Roman"/>
          <w:sz w:val="24"/>
          <w:szCs w:val="24"/>
          <w:shd w:val="clear" w:color="auto" w:fill="FFFFFF"/>
        </w:rPr>
        <w:t>elimination of</w:t>
      </w:r>
      <w:r w:rsidR="00005ABA" w:rsidRPr="00890316">
        <w:rPr>
          <w:rFonts w:ascii="Times New Roman" w:hAnsi="Times New Roman" w:cs="Times New Roman"/>
          <w:sz w:val="24"/>
          <w:szCs w:val="24"/>
          <w:shd w:val="clear" w:color="auto" w:fill="FFFFFF"/>
        </w:rPr>
        <w:t xml:space="preserve"> dollar-gold convertibility</w:t>
      </w:r>
      <w:r w:rsidR="00005ABA">
        <w:rPr>
          <w:rFonts w:ascii="Times New Roman" w:hAnsi="Times New Roman" w:cs="Times New Roman"/>
          <w:sz w:val="24"/>
          <w:szCs w:val="24"/>
          <w:shd w:val="clear" w:color="auto" w:fill="FFFFFF"/>
        </w:rPr>
        <w:t xml:space="preserve"> was a unilateral </w:t>
      </w:r>
      <w:r w:rsidR="00005ABA" w:rsidRPr="00890316">
        <w:rPr>
          <w:rFonts w:ascii="Times New Roman" w:hAnsi="Times New Roman" w:cs="Times New Roman"/>
          <w:sz w:val="24"/>
          <w:szCs w:val="24"/>
          <w:shd w:val="clear" w:color="auto" w:fill="FFFFFF"/>
        </w:rPr>
        <w:t>“power play”</w:t>
      </w:r>
      <w:r w:rsidR="00005ABA">
        <w:rPr>
          <w:rFonts w:ascii="Times New Roman" w:hAnsi="Times New Roman" w:cs="Times New Roman"/>
          <w:sz w:val="24"/>
          <w:szCs w:val="24"/>
          <w:shd w:val="clear" w:color="auto" w:fill="FFFFFF"/>
        </w:rPr>
        <w:t xml:space="preserve"> in that the rest of world had no viable alternative but to hold dollar assets as reserves. In turn, the dollar standard confers a “exorbitant privilege” for the US, which is sustained by the financial, political, and military power of the US.</w:t>
      </w:r>
      <w:r w:rsidR="00166547">
        <w:rPr>
          <w:rFonts w:ascii="Times New Roman" w:hAnsi="Times New Roman" w:cs="Times New Roman"/>
          <w:sz w:val="24"/>
          <w:szCs w:val="24"/>
          <w:shd w:val="clear" w:color="auto" w:fill="FFFFFF"/>
        </w:rPr>
        <w:t xml:space="preserve"> An emerging field of study is the role of this “exorbitant privilege” in driving inter-country inequality (</w:t>
      </w:r>
      <w:r w:rsidR="00166547" w:rsidRPr="00FB53AD">
        <w:rPr>
          <w:rFonts w:ascii="Times New Roman" w:hAnsi="Times New Roman" w:cs="Times New Roman"/>
          <w:sz w:val="24"/>
          <w:szCs w:val="24"/>
          <w:shd w:val="clear" w:color="auto" w:fill="FFFFFF"/>
        </w:rPr>
        <w:t>Vasudevan</w:t>
      </w:r>
      <w:r w:rsidR="00166547">
        <w:rPr>
          <w:rFonts w:ascii="Times New Roman" w:hAnsi="Times New Roman" w:cs="Times New Roman"/>
          <w:sz w:val="24"/>
          <w:szCs w:val="24"/>
          <w:shd w:val="clear" w:color="auto" w:fill="FFFFFF"/>
        </w:rPr>
        <w:t xml:space="preserve"> 2008; 2009).</w:t>
      </w:r>
    </w:p>
    <w:p w:rsidR="00005ABA" w:rsidRPr="00166547" w:rsidRDefault="004C422F" w:rsidP="00166547">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rPr>
        <w:t>T</w:t>
      </w:r>
      <w:r w:rsidR="00005ABA" w:rsidRPr="00890316">
        <w:rPr>
          <w:rFonts w:ascii="Times New Roman" w:hAnsi="Times New Roman" w:cs="Times New Roman"/>
          <w:sz w:val="24"/>
          <w:szCs w:val="24"/>
        </w:rPr>
        <w:t xml:space="preserve">he ability to integrate the global economy on the dollar standard was threatened by domestic turmoil in the </w:t>
      </w:r>
      <w:r w:rsidR="00005ABA">
        <w:rPr>
          <w:rFonts w:ascii="Times New Roman" w:hAnsi="Times New Roman" w:cs="Times New Roman"/>
          <w:sz w:val="24"/>
          <w:szCs w:val="24"/>
        </w:rPr>
        <w:t>US</w:t>
      </w:r>
      <w:r w:rsidR="00005ABA" w:rsidRPr="00890316">
        <w:rPr>
          <w:rFonts w:ascii="Times New Roman" w:hAnsi="Times New Roman" w:cs="Times New Roman"/>
          <w:sz w:val="24"/>
          <w:szCs w:val="24"/>
        </w:rPr>
        <w:t xml:space="preserve"> that was generating inflation to the dollar.</w:t>
      </w:r>
      <w:r w:rsidR="00005ABA" w:rsidRPr="00890316">
        <w:rPr>
          <w:rFonts w:ascii="Times New Roman" w:hAnsi="Times New Roman" w:cs="Times New Roman"/>
          <w:sz w:val="24"/>
          <w:szCs w:val="24"/>
          <w:shd w:val="clear" w:color="auto" w:fill="FFFFFF"/>
        </w:rPr>
        <w:t xml:space="preserve"> </w:t>
      </w:r>
      <w:r w:rsidR="00005ABA" w:rsidRPr="00890316">
        <w:rPr>
          <w:rFonts w:ascii="Times New Roman" w:hAnsi="Times New Roman" w:cs="Times New Roman"/>
          <w:sz w:val="24"/>
          <w:szCs w:val="24"/>
        </w:rPr>
        <w:t xml:space="preserve">By the end of the 1970s, the Federal Reserve led an interagency consensus that the main source of inflation was resistance from </w:t>
      </w:r>
      <w:r w:rsidR="00005ABA">
        <w:rPr>
          <w:rFonts w:ascii="Times New Roman" w:hAnsi="Times New Roman" w:cs="Times New Roman"/>
          <w:sz w:val="24"/>
          <w:szCs w:val="24"/>
        </w:rPr>
        <w:t>US</w:t>
      </w:r>
      <w:r w:rsidR="00005ABA" w:rsidRPr="00890316">
        <w:rPr>
          <w:rFonts w:ascii="Times New Roman" w:hAnsi="Times New Roman" w:cs="Times New Roman"/>
          <w:sz w:val="24"/>
          <w:szCs w:val="24"/>
        </w:rPr>
        <w:t xml:space="preserve"> labor unions and social welfare programs. </w:t>
      </w:r>
      <w:r w:rsidR="00A66628">
        <w:rPr>
          <w:rFonts w:ascii="Times New Roman" w:hAnsi="Times New Roman" w:cs="Times New Roman"/>
          <w:sz w:val="24"/>
          <w:szCs w:val="24"/>
        </w:rPr>
        <w:t>D</w:t>
      </w:r>
      <w:r w:rsidR="00A66628" w:rsidRPr="00890316">
        <w:rPr>
          <w:rFonts w:ascii="Times New Roman" w:hAnsi="Times New Roman" w:cs="Times New Roman"/>
          <w:sz w:val="24"/>
          <w:szCs w:val="24"/>
        </w:rPr>
        <w:t xml:space="preserve">e-unionization trends in the </w:t>
      </w:r>
      <w:r w:rsidR="00A66628">
        <w:rPr>
          <w:rFonts w:ascii="Times New Roman" w:hAnsi="Times New Roman" w:cs="Times New Roman"/>
          <w:sz w:val="24"/>
          <w:szCs w:val="24"/>
        </w:rPr>
        <w:t>US</w:t>
      </w:r>
      <w:r w:rsidR="00A66628" w:rsidRPr="00890316">
        <w:rPr>
          <w:rFonts w:ascii="Times New Roman" w:hAnsi="Times New Roman" w:cs="Times New Roman"/>
          <w:sz w:val="24"/>
          <w:szCs w:val="24"/>
        </w:rPr>
        <w:t xml:space="preserve"> deepened</w:t>
      </w:r>
      <w:r w:rsidR="00A66628">
        <w:rPr>
          <w:rFonts w:ascii="Times New Roman" w:hAnsi="Times New Roman" w:cs="Times New Roman"/>
          <w:sz w:val="24"/>
          <w:szCs w:val="24"/>
        </w:rPr>
        <w:t xml:space="preserve"> a</w:t>
      </w:r>
      <w:r w:rsidR="00005ABA" w:rsidRPr="00890316">
        <w:rPr>
          <w:rFonts w:ascii="Times New Roman" w:hAnsi="Times New Roman" w:cs="Times New Roman"/>
          <w:sz w:val="24"/>
          <w:szCs w:val="24"/>
        </w:rPr>
        <w:t xml:space="preserve">fter implementing unprecedented high interest rates from 1979-81, known as the “Volcker Shock,” and </w:t>
      </w:r>
      <w:r w:rsidR="00A66628">
        <w:rPr>
          <w:rFonts w:ascii="Times New Roman" w:hAnsi="Times New Roman" w:cs="Times New Roman"/>
          <w:sz w:val="24"/>
          <w:szCs w:val="24"/>
        </w:rPr>
        <w:t xml:space="preserve">the Reagan administration’s trend-setting </w:t>
      </w:r>
      <w:r w:rsidR="00005ABA" w:rsidRPr="00890316">
        <w:rPr>
          <w:rFonts w:ascii="Times New Roman" w:hAnsi="Times New Roman" w:cs="Times New Roman"/>
          <w:sz w:val="24"/>
          <w:szCs w:val="24"/>
        </w:rPr>
        <w:t>i</w:t>
      </w:r>
      <w:r w:rsidR="00A66628">
        <w:rPr>
          <w:rFonts w:ascii="Times New Roman" w:hAnsi="Times New Roman" w:cs="Times New Roman"/>
          <w:sz w:val="24"/>
          <w:szCs w:val="24"/>
        </w:rPr>
        <w:t>mplementation</w:t>
      </w:r>
      <w:r w:rsidR="00005ABA" w:rsidRPr="00890316">
        <w:rPr>
          <w:rFonts w:ascii="Times New Roman" w:hAnsi="Times New Roman" w:cs="Times New Roman"/>
          <w:sz w:val="24"/>
          <w:szCs w:val="24"/>
        </w:rPr>
        <w:t xml:space="preserve"> </w:t>
      </w:r>
      <w:r w:rsidR="00A66628">
        <w:rPr>
          <w:rFonts w:ascii="Times New Roman" w:hAnsi="Times New Roman" w:cs="Times New Roman"/>
          <w:sz w:val="24"/>
          <w:szCs w:val="24"/>
        </w:rPr>
        <w:t>of anti-labor deregulations and austerity.</w:t>
      </w:r>
      <w:r w:rsidR="00005ABA" w:rsidRPr="00890316">
        <w:rPr>
          <w:rFonts w:ascii="Times New Roman" w:hAnsi="Times New Roman" w:cs="Times New Roman"/>
          <w:sz w:val="24"/>
          <w:szCs w:val="24"/>
        </w:rPr>
        <w:t xml:space="preserve"> </w:t>
      </w:r>
      <w:r w:rsidR="00A66628">
        <w:rPr>
          <w:rFonts w:ascii="Times New Roman" w:hAnsi="Times New Roman" w:cs="Times New Roman"/>
          <w:sz w:val="24"/>
          <w:szCs w:val="24"/>
        </w:rPr>
        <w:t>T</w:t>
      </w:r>
      <w:r w:rsidR="00005ABA" w:rsidRPr="00890316">
        <w:rPr>
          <w:rFonts w:ascii="Times New Roman" w:hAnsi="Times New Roman" w:cs="Times New Roman"/>
          <w:sz w:val="24"/>
          <w:szCs w:val="24"/>
        </w:rPr>
        <w:t>h</w:t>
      </w:r>
      <w:r w:rsidR="00A66628">
        <w:rPr>
          <w:rFonts w:ascii="Times New Roman" w:hAnsi="Times New Roman" w:cs="Times New Roman"/>
          <w:sz w:val="24"/>
          <w:szCs w:val="24"/>
        </w:rPr>
        <w:t>is</w:t>
      </w:r>
      <w:r w:rsidR="00005ABA" w:rsidRPr="00890316">
        <w:rPr>
          <w:rFonts w:ascii="Times New Roman" w:hAnsi="Times New Roman" w:cs="Times New Roman"/>
          <w:sz w:val="24"/>
          <w:szCs w:val="24"/>
        </w:rPr>
        <w:t xml:space="preserve"> social stabilizing of inflation to the dollar </w:t>
      </w:r>
      <w:r w:rsidR="00A66628">
        <w:rPr>
          <w:rFonts w:ascii="Times New Roman" w:hAnsi="Times New Roman" w:cs="Times New Roman"/>
          <w:sz w:val="24"/>
          <w:szCs w:val="24"/>
        </w:rPr>
        <w:t xml:space="preserve">was the </w:t>
      </w:r>
      <w:r w:rsidR="00A66628" w:rsidRPr="00A66628">
        <w:rPr>
          <w:rFonts w:ascii="Times New Roman" w:hAnsi="Times New Roman" w:cs="Times New Roman"/>
          <w:i/>
          <w:sz w:val="24"/>
          <w:szCs w:val="24"/>
        </w:rPr>
        <w:t xml:space="preserve">a priori </w:t>
      </w:r>
      <w:r w:rsidR="00A66628">
        <w:rPr>
          <w:rFonts w:ascii="Times New Roman" w:hAnsi="Times New Roman" w:cs="Times New Roman"/>
          <w:sz w:val="24"/>
          <w:szCs w:val="24"/>
        </w:rPr>
        <w:t xml:space="preserve">condition for the dollar standard and </w:t>
      </w:r>
      <w:r w:rsidR="00005ABA" w:rsidRPr="00890316">
        <w:rPr>
          <w:rFonts w:ascii="Times New Roman" w:hAnsi="Times New Roman" w:cs="Times New Roman"/>
          <w:sz w:val="24"/>
          <w:szCs w:val="24"/>
        </w:rPr>
        <w:t xml:space="preserve">the </w:t>
      </w:r>
      <w:r w:rsidR="00A66628">
        <w:rPr>
          <w:rFonts w:ascii="Times New Roman" w:hAnsi="Times New Roman" w:cs="Times New Roman"/>
          <w:sz w:val="24"/>
          <w:szCs w:val="24"/>
        </w:rPr>
        <w:t xml:space="preserve">ability of the </w:t>
      </w:r>
      <w:r w:rsidR="00005ABA">
        <w:rPr>
          <w:rFonts w:ascii="Times New Roman" w:hAnsi="Times New Roman" w:cs="Times New Roman"/>
          <w:sz w:val="24"/>
          <w:szCs w:val="24"/>
        </w:rPr>
        <w:t>US</w:t>
      </w:r>
      <w:r w:rsidR="00005ABA" w:rsidRPr="00890316">
        <w:rPr>
          <w:rFonts w:ascii="Times New Roman" w:hAnsi="Times New Roman" w:cs="Times New Roman"/>
          <w:sz w:val="24"/>
          <w:szCs w:val="24"/>
        </w:rPr>
        <w:t xml:space="preserve"> run seemingly endless trade deficits.</w:t>
      </w:r>
    </w:p>
    <w:p w:rsidR="00CA2A51" w:rsidRPr="00DD4505" w:rsidRDefault="00A66628" w:rsidP="00DD450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Lastly, emerging partnerships between MNCs and developing countries sustain the dollar standard and </w:t>
      </w:r>
      <w:r w:rsidR="00CA2A51">
        <w:rPr>
          <w:rFonts w:ascii="Times New Roman" w:hAnsi="Times New Roman" w:cs="Times New Roman"/>
          <w:sz w:val="24"/>
          <w:szCs w:val="24"/>
          <w:shd w:val="clear" w:color="auto" w:fill="FFFFFF"/>
        </w:rPr>
        <w:t xml:space="preserve">grew the US trade deficit, particularly commerce between US MNCs and China. US MNCs were the principle lobbyists responsible for the WTO and its regulatory architecture (Sell 2003; </w:t>
      </w:r>
      <w:proofErr w:type="spellStart"/>
      <w:r w:rsidR="00CA2A51">
        <w:rPr>
          <w:rFonts w:ascii="Times New Roman" w:hAnsi="Times New Roman" w:cs="Times New Roman"/>
          <w:sz w:val="24"/>
          <w:szCs w:val="24"/>
          <w:shd w:val="clear" w:color="auto" w:fill="FFFFFF"/>
        </w:rPr>
        <w:t>Chorev</w:t>
      </w:r>
      <w:proofErr w:type="spellEnd"/>
      <w:r w:rsidR="00CA2A51">
        <w:rPr>
          <w:rFonts w:ascii="Times New Roman" w:hAnsi="Times New Roman" w:cs="Times New Roman"/>
          <w:sz w:val="24"/>
          <w:szCs w:val="24"/>
          <w:shd w:val="clear" w:color="auto" w:fill="FFFFFF"/>
        </w:rPr>
        <w:t xml:space="preserve"> 2007; </w:t>
      </w:r>
      <w:proofErr w:type="spellStart"/>
      <w:r w:rsidR="00CA2A51">
        <w:rPr>
          <w:rFonts w:ascii="Times New Roman" w:hAnsi="Times New Roman" w:cs="Times New Roman"/>
          <w:sz w:val="24"/>
          <w:szCs w:val="24"/>
          <w:shd w:val="clear" w:color="auto" w:fill="FFFFFF"/>
        </w:rPr>
        <w:t>Dreiling</w:t>
      </w:r>
      <w:proofErr w:type="spellEnd"/>
      <w:r w:rsidR="00CA2A51">
        <w:rPr>
          <w:rFonts w:ascii="Times New Roman" w:hAnsi="Times New Roman" w:cs="Times New Roman"/>
          <w:sz w:val="24"/>
          <w:szCs w:val="24"/>
          <w:shd w:val="clear" w:color="auto" w:fill="FFFFFF"/>
        </w:rPr>
        <w:t xml:space="preserve"> &amp; </w:t>
      </w:r>
      <w:proofErr w:type="spellStart"/>
      <w:r w:rsidR="00CA2A51">
        <w:rPr>
          <w:rFonts w:ascii="Times New Roman" w:hAnsi="Times New Roman" w:cs="Times New Roman"/>
          <w:sz w:val="24"/>
          <w:szCs w:val="24"/>
          <w:shd w:val="clear" w:color="auto" w:fill="FFFFFF"/>
        </w:rPr>
        <w:t>Darves</w:t>
      </w:r>
      <w:proofErr w:type="spellEnd"/>
      <w:r w:rsidR="00CA2A51">
        <w:rPr>
          <w:rFonts w:ascii="Times New Roman" w:hAnsi="Times New Roman" w:cs="Times New Roman"/>
          <w:sz w:val="24"/>
          <w:szCs w:val="24"/>
          <w:shd w:val="clear" w:color="auto" w:fill="FFFFFF"/>
        </w:rPr>
        <w:t xml:space="preserve"> 2016), China joined the WTO in 2001 and subsequently US MNCs shifted production from the US to China. This industrialized China while leaving sections of the US deindustrialized, further weakening labor unions and facilitating job polarization trends (</w:t>
      </w:r>
      <w:proofErr w:type="spellStart"/>
      <w:r w:rsidR="00CA2A51">
        <w:rPr>
          <w:rFonts w:ascii="Times New Roman" w:hAnsi="Times New Roman" w:cs="Times New Roman"/>
          <w:sz w:val="24"/>
          <w:szCs w:val="24"/>
          <w:shd w:val="clear" w:color="auto" w:fill="FFFFFF"/>
        </w:rPr>
        <w:t>Kalleberg</w:t>
      </w:r>
      <w:proofErr w:type="spellEnd"/>
      <w:r w:rsidR="00CA2A51">
        <w:rPr>
          <w:rFonts w:ascii="Times New Roman" w:hAnsi="Times New Roman" w:cs="Times New Roman"/>
          <w:sz w:val="24"/>
          <w:szCs w:val="24"/>
          <w:shd w:val="clear" w:color="auto" w:fill="FFFFFF"/>
        </w:rPr>
        <w:t xml:space="preserve"> 2011). </w:t>
      </w:r>
      <w:r w:rsidR="00DD4505">
        <w:rPr>
          <w:rFonts w:ascii="Times New Roman" w:hAnsi="Times New Roman" w:cs="Times New Roman"/>
          <w:sz w:val="24"/>
          <w:szCs w:val="24"/>
          <w:shd w:val="clear" w:color="auto" w:fill="FFFFFF"/>
        </w:rPr>
        <w:t xml:space="preserve">By 2010, China accounted for nearly 55 percent of the total US trade deficit. However, similar to other surplus countries, China’s trade surplus remains </w:t>
      </w:r>
      <w:r w:rsidR="00E3555C">
        <w:rPr>
          <w:rFonts w:ascii="Times New Roman" w:hAnsi="Times New Roman" w:cs="Times New Roman"/>
          <w:sz w:val="24"/>
          <w:szCs w:val="24"/>
          <w:shd w:val="clear" w:color="auto" w:fill="FFFFFF"/>
        </w:rPr>
        <w:t xml:space="preserve">as surplus </w:t>
      </w:r>
      <w:r w:rsidR="00DD4505">
        <w:rPr>
          <w:rFonts w:ascii="Times New Roman" w:hAnsi="Times New Roman" w:cs="Times New Roman"/>
          <w:sz w:val="24"/>
          <w:szCs w:val="24"/>
          <w:shd w:val="clear" w:color="auto" w:fill="FFFFFF"/>
        </w:rPr>
        <w:t xml:space="preserve">because it uses that money to buy US financial assets rather than US goods and services. </w:t>
      </w:r>
      <w:r w:rsidR="00DD4505" w:rsidRPr="00890316">
        <w:rPr>
          <w:rFonts w:ascii="Times New Roman" w:hAnsi="Times New Roman" w:cs="Times New Roman"/>
          <w:sz w:val="24"/>
          <w:szCs w:val="24"/>
        </w:rPr>
        <w:t xml:space="preserve">The result is that </w:t>
      </w:r>
      <w:r w:rsidR="00DD4505">
        <w:rPr>
          <w:rFonts w:ascii="Times New Roman" w:hAnsi="Times New Roman" w:cs="Times New Roman"/>
          <w:sz w:val="24"/>
          <w:szCs w:val="24"/>
        </w:rPr>
        <w:t>US</w:t>
      </w:r>
      <w:r w:rsidR="00DD4505" w:rsidRPr="00890316">
        <w:rPr>
          <w:rFonts w:ascii="Times New Roman" w:hAnsi="Times New Roman" w:cs="Times New Roman"/>
          <w:sz w:val="24"/>
          <w:szCs w:val="24"/>
        </w:rPr>
        <w:t xml:space="preserve"> trade deficits are sustained by capital inflows to </w:t>
      </w:r>
      <w:r w:rsidR="00DD4505">
        <w:rPr>
          <w:rFonts w:ascii="Times New Roman" w:hAnsi="Times New Roman" w:cs="Times New Roman"/>
          <w:sz w:val="24"/>
          <w:szCs w:val="24"/>
        </w:rPr>
        <w:t>US</w:t>
      </w:r>
      <w:r w:rsidR="00DD4505" w:rsidRPr="00890316">
        <w:rPr>
          <w:rFonts w:ascii="Times New Roman" w:hAnsi="Times New Roman" w:cs="Times New Roman"/>
          <w:sz w:val="24"/>
          <w:szCs w:val="24"/>
        </w:rPr>
        <w:t xml:space="preserve"> financial assets, especially official reserves.</w:t>
      </w:r>
    </w:p>
    <w:p w:rsidR="00D92D28" w:rsidRPr="00890316" w:rsidRDefault="00DD4505" w:rsidP="00D92D28">
      <w:pPr>
        <w:spacing w:line="24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w:t>
      </w:r>
      <w:r w:rsidR="00D92D28" w:rsidRPr="00890316">
        <w:rPr>
          <w:rFonts w:ascii="Times New Roman" w:hAnsi="Times New Roman" w:cs="Times New Roman"/>
          <w:sz w:val="24"/>
          <w:szCs w:val="24"/>
          <w:shd w:val="clear" w:color="auto" w:fill="FFFFFF"/>
        </w:rPr>
        <w:t xml:space="preserve">eserve accumulation arises from central banks “earmarking” dollar reserves. </w:t>
      </w:r>
      <w:r w:rsidR="00E3555C">
        <w:rPr>
          <w:rFonts w:ascii="Times New Roman" w:hAnsi="Times New Roman" w:cs="Times New Roman"/>
          <w:sz w:val="24"/>
          <w:szCs w:val="24"/>
          <w:shd w:val="clear" w:color="auto" w:fill="FFFFFF"/>
        </w:rPr>
        <w:t xml:space="preserve">The </w:t>
      </w:r>
      <w:proofErr w:type="spellStart"/>
      <w:r w:rsidR="00E3555C">
        <w:rPr>
          <w:rFonts w:ascii="Times New Roman" w:hAnsi="Times New Roman" w:cs="Times New Roman"/>
          <w:sz w:val="24"/>
          <w:szCs w:val="24"/>
          <w:shd w:val="clear" w:color="auto" w:fill="FFFFFF"/>
        </w:rPr>
        <w:t>socioculturalists</w:t>
      </w:r>
      <w:proofErr w:type="spellEnd"/>
      <w:r w:rsidR="00E3555C">
        <w:rPr>
          <w:rFonts w:ascii="Times New Roman" w:hAnsi="Times New Roman" w:cs="Times New Roman"/>
          <w:sz w:val="24"/>
          <w:szCs w:val="24"/>
          <w:shd w:val="clear" w:color="auto" w:fill="FFFFFF"/>
        </w:rPr>
        <w:t xml:space="preserve"> have not yet studied the “earmarking” of central bankers. However, China and t</w:t>
      </w:r>
      <w:r w:rsidR="00D92D28" w:rsidRPr="00890316">
        <w:rPr>
          <w:rFonts w:ascii="Times New Roman" w:hAnsi="Times New Roman" w:cs="Times New Roman"/>
          <w:sz w:val="24"/>
          <w:szCs w:val="24"/>
          <w:shd w:val="clear" w:color="auto" w:fill="FFFFFF"/>
        </w:rPr>
        <w:t>he rest of the world</w:t>
      </w:r>
      <w:r w:rsidR="00D92D28" w:rsidRPr="00890316">
        <w:rPr>
          <w:rFonts w:ascii="Times New Roman" w:hAnsi="Times New Roman" w:cs="Times New Roman"/>
          <w:sz w:val="24"/>
          <w:szCs w:val="24"/>
        </w:rPr>
        <w:t xml:space="preserve"> </w:t>
      </w:r>
      <w:r>
        <w:rPr>
          <w:rFonts w:ascii="Times New Roman" w:hAnsi="Times New Roman" w:cs="Times New Roman"/>
          <w:sz w:val="24"/>
          <w:szCs w:val="24"/>
        </w:rPr>
        <w:t>“</w:t>
      </w:r>
      <w:r w:rsidR="00D92D28" w:rsidRPr="00890316">
        <w:rPr>
          <w:rFonts w:ascii="Times New Roman" w:hAnsi="Times New Roman" w:cs="Times New Roman"/>
          <w:sz w:val="24"/>
          <w:szCs w:val="24"/>
        </w:rPr>
        <w:t>earmark</w:t>
      </w:r>
      <w:r>
        <w:rPr>
          <w:rFonts w:ascii="Times New Roman" w:hAnsi="Times New Roman" w:cs="Times New Roman"/>
          <w:sz w:val="24"/>
          <w:szCs w:val="24"/>
        </w:rPr>
        <w:t>”</w:t>
      </w:r>
      <w:r w:rsidR="00D92D28" w:rsidRPr="00890316">
        <w:rPr>
          <w:rFonts w:ascii="Times New Roman" w:hAnsi="Times New Roman" w:cs="Times New Roman"/>
          <w:sz w:val="24"/>
          <w:szCs w:val="24"/>
        </w:rPr>
        <w:t xml:space="preserve"> </w:t>
      </w:r>
      <w:r w:rsidR="00D92D28">
        <w:rPr>
          <w:rFonts w:ascii="Times New Roman" w:hAnsi="Times New Roman" w:cs="Times New Roman"/>
          <w:sz w:val="24"/>
          <w:szCs w:val="24"/>
        </w:rPr>
        <w:t>US</w:t>
      </w:r>
      <w:r w:rsidR="00D92D28" w:rsidRPr="00890316">
        <w:rPr>
          <w:rFonts w:ascii="Times New Roman" w:hAnsi="Times New Roman" w:cs="Times New Roman"/>
          <w:sz w:val="24"/>
          <w:szCs w:val="24"/>
        </w:rPr>
        <w:t xml:space="preserve"> Treasuries and liquid dollar assets in unprecedented quantities to defend exchange rates, protect against volatile and destabilizing capital flows, ensure investor confidence, prepare for unforeseen social and political crises such as natural disasters or armed conflicts, and for lack of alternative safe assets. Each instance has unique social and political contexts depending on place and time, and each instance </w:t>
      </w:r>
      <w:r w:rsidR="00D92D28" w:rsidRPr="00890316">
        <w:rPr>
          <w:rFonts w:ascii="Times New Roman" w:hAnsi="Times New Roman" w:cs="Times New Roman"/>
          <w:sz w:val="24"/>
          <w:szCs w:val="24"/>
          <w:shd w:val="clear" w:color="auto" w:fill="FFFFFF"/>
        </w:rPr>
        <w:t>adds to reserve accumulation</w:t>
      </w:r>
      <w:r>
        <w:rPr>
          <w:rFonts w:ascii="Times New Roman" w:hAnsi="Times New Roman" w:cs="Times New Roman"/>
          <w:sz w:val="24"/>
          <w:szCs w:val="24"/>
          <w:shd w:val="clear" w:color="auto" w:fill="FFFFFF"/>
        </w:rPr>
        <w:t>. These processes sustain the dollar standard and perpetuate</w:t>
      </w:r>
      <w:r w:rsidR="00D92D28" w:rsidRPr="00890316">
        <w:rPr>
          <w:rFonts w:ascii="Times New Roman" w:hAnsi="Times New Roman" w:cs="Times New Roman"/>
          <w:sz w:val="24"/>
          <w:szCs w:val="24"/>
          <w:shd w:val="clear" w:color="auto" w:fill="FFFFFF"/>
        </w:rPr>
        <w:t xml:space="preserve"> the </w:t>
      </w:r>
      <w:r w:rsidR="00D92D28">
        <w:rPr>
          <w:rFonts w:ascii="Times New Roman" w:hAnsi="Times New Roman" w:cs="Times New Roman"/>
          <w:sz w:val="24"/>
          <w:szCs w:val="24"/>
          <w:shd w:val="clear" w:color="auto" w:fill="FFFFFF"/>
        </w:rPr>
        <w:t>US</w:t>
      </w:r>
      <w:r w:rsidR="00D92D28" w:rsidRPr="00890316">
        <w:rPr>
          <w:rFonts w:ascii="Times New Roman" w:hAnsi="Times New Roman" w:cs="Times New Roman"/>
          <w:sz w:val="24"/>
          <w:szCs w:val="24"/>
          <w:shd w:val="clear" w:color="auto" w:fill="FFFFFF"/>
        </w:rPr>
        <w:t xml:space="preserve"> trade deficit. </w:t>
      </w:r>
    </w:p>
    <w:p w:rsidR="006962DB" w:rsidRDefault="006962D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6962DB" w:rsidRPr="00D75403" w:rsidRDefault="00F77B49" w:rsidP="00D75403">
      <w:pPr>
        <w:spacing w:line="240" w:lineRule="auto"/>
        <w:contextualSpacing/>
        <w:jc w:val="center"/>
        <w:rPr>
          <w:rFonts w:ascii="Times New Roman" w:hAnsi="Times New Roman" w:cs="Times New Roman"/>
          <w:sz w:val="24"/>
          <w:szCs w:val="24"/>
          <w:shd w:val="clear" w:color="auto" w:fill="FFFFFF"/>
        </w:rPr>
      </w:pPr>
      <w:r w:rsidRPr="00890316">
        <w:rPr>
          <w:rFonts w:ascii="Times New Roman" w:hAnsi="Times New Roman" w:cs="Times New Roman"/>
          <w:sz w:val="24"/>
          <w:szCs w:val="24"/>
          <w:shd w:val="clear" w:color="auto" w:fill="FFFFFF"/>
        </w:rPr>
        <w:lastRenderedPageBreak/>
        <w:t>Works Cited</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Austin, Kenneth. 2014. “Systemic Equilibrium in a Bretton Woods II-Type International Monetary System: The Special Roles of Reserve Issuers and Reserve Accumulators.” </w:t>
      </w:r>
      <w:r w:rsidRPr="00890316">
        <w:rPr>
          <w:rFonts w:ascii="Times New Roman" w:hAnsi="Times New Roman" w:cs="Times New Roman"/>
          <w:i/>
          <w:iCs/>
          <w:sz w:val="24"/>
          <w:szCs w:val="24"/>
        </w:rPr>
        <w:t>Journal of Post Keynesian Economics</w:t>
      </w:r>
      <w:r w:rsidRPr="00890316">
        <w:rPr>
          <w:rFonts w:ascii="Times New Roman" w:hAnsi="Times New Roman" w:cs="Times New Roman"/>
          <w:sz w:val="24"/>
          <w:szCs w:val="24"/>
        </w:rPr>
        <w:t xml:space="preserve"> 36 (4): 607–34. https://doi.org/10.2753/PKE0160-3477360402.</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Bernanke, Ben. 2005. “The Global Saving Glut and the U.S. Current Account Deficit.” presented at the Sandridge Lecture, Virginia Association of Economists, Richmond, Virginia, March 10. </w:t>
      </w:r>
      <w:hyperlink r:id="rId9" w:history="1">
        <w:r w:rsidRPr="005624F6">
          <w:rPr>
            <w:rStyle w:val="Hyperlink"/>
            <w:rFonts w:ascii="Times New Roman" w:hAnsi="Times New Roman" w:cs="Times New Roman"/>
            <w:sz w:val="24"/>
            <w:szCs w:val="24"/>
          </w:rPr>
          <w:t>https://www.federalreserve.gov/boarddocs/speeches/2005/200503102/</w:t>
        </w:r>
      </w:hyperlink>
      <w:r>
        <w:rPr>
          <w:rFonts w:ascii="Times New Roman" w:hAnsi="Times New Roman" w:cs="Times New Roman"/>
          <w:sz w:val="24"/>
          <w:szCs w:val="24"/>
        </w:rPr>
        <w:t>.</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0293B">
        <w:rPr>
          <w:rFonts w:ascii="Times New Roman" w:hAnsi="Times New Roman" w:cs="Times New Roman"/>
          <w:sz w:val="24"/>
          <w:szCs w:val="24"/>
          <w:shd w:val="clear" w:color="auto" w:fill="FFFFFF"/>
        </w:rPr>
        <w:t xml:space="preserve">Blanchard, Oliver, Francesco </w:t>
      </w:r>
      <w:proofErr w:type="spellStart"/>
      <w:r w:rsidRPr="00B0293B">
        <w:rPr>
          <w:rFonts w:ascii="Times New Roman" w:hAnsi="Times New Roman" w:cs="Times New Roman"/>
          <w:sz w:val="24"/>
          <w:szCs w:val="24"/>
          <w:shd w:val="clear" w:color="auto" w:fill="FFFFFF"/>
        </w:rPr>
        <w:t>Giavazzi,and</w:t>
      </w:r>
      <w:proofErr w:type="spellEnd"/>
      <w:r w:rsidRPr="00B0293B">
        <w:rPr>
          <w:rFonts w:ascii="Times New Roman" w:hAnsi="Times New Roman" w:cs="Times New Roman"/>
          <w:sz w:val="24"/>
          <w:szCs w:val="24"/>
          <w:shd w:val="clear" w:color="auto" w:fill="FFFFFF"/>
        </w:rPr>
        <w:t xml:space="preserve"> Filipa Sa. "International Investors, the U.S. Current Account, and the Dollar." Brookings Papers on Economic Activity 1 (2005): 1-49.</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0808BB">
        <w:rPr>
          <w:rFonts w:ascii="Times New Roman" w:hAnsi="Times New Roman" w:cs="Times New Roman"/>
          <w:sz w:val="24"/>
          <w:szCs w:val="24"/>
          <w:shd w:val="clear" w:color="auto" w:fill="FFFFFF"/>
        </w:rPr>
        <w:t xml:space="preserve">Bluestone, Barry </w:t>
      </w:r>
      <w:r>
        <w:rPr>
          <w:rFonts w:ascii="Times New Roman" w:hAnsi="Times New Roman" w:cs="Times New Roman"/>
          <w:sz w:val="24"/>
          <w:szCs w:val="24"/>
          <w:shd w:val="clear" w:color="auto" w:fill="FFFFFF"/>
        </w:rPr>
        <w:t>&amp;</w:t>
      </w:r>
      <w:r w:rsidRPr="000808BB">
        <w:rPr>
          <w:rFonts w:ascii="Times New Roman" w:hAnsi="Times New Roman" w:cs="Times New Roman"/>
          <w:sz w:val="24"/>
          <w:szCs w:val="24"/>
          <w:shd w:val="clear" w:color="auto" w:fill="FFFFFF"/>
        </w:rPr>
        <w:t xml:space="preserve"> Bennett Harrison. 1982. The Deindustrialization of America: Plant Closings, Community Abandonment, and the Dismantling of Basic Industry. New York: Basic Books.</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Bundesbank. 2017. “Global Liquidity, Foreign Exchange Reserves and Exchange Rates of Emerging Market Economies.” Report 13. Deutsche Bundesbank.</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A41C8C">
        <w:rPr>
          <w:rFonts w:ascii="Times New Roman" w:hAnsi="Times New Roman" w:cs="Times New Roman"/>
          <w:sz w:val="24"/>
          <w:szCs w:val="24"/>
        </w:rPr>
        <w:t>Chorev</w:t>
      </w:r>
      <w:proofErr w:type="spellEnd"/>
      <w:r w:rsidRPr="00A41C8C">
        <w:rPr>
          <w:rFonts w:ascii="Times New Roman" w:hAnsi="Times New Roman" w:cs="Times New Roman"/>
          <w:sz w:val="24"/>
          <w:szCs w:val="24"/>
        </w:rPr>
        <w:t xml:space="preserve">, </w:t>
      </w:r>
      <w:proofErr w:type="spellStart"/>
      <w:r w:rsidRPr="00A41C8C">
        <w:rPr>
          <w:rFonts w:ascii="Times New Roman" w:hAnsi="Times New Roman" w:cs="Times New Roman"/>
          <w:sz w:val="24"/>
          <w:szCs w:val="24"/>
        </w:rPr>
        <w:t>Nitsan</w:t>
      </w:r>
      <w:proofErr w:type="spellEnd"/>
      <w:r w:rsidRPr="00A41C8C">
        <w:rPr>
          <w:rFonts w:ascii="Times New Roman" w:hAnsi="Times New Roman" w:cs="Times New Roman"/>
          <w:sz w:val="24"/>
          <w:szCs w:val="24"/>
        </w:rPr>
        <w:t xml:space="preserve">. 2007. </w:t>
      </w:r>
      <w:r w:rsidRPr="00A41C8C">
        <w:rPr>
          <w:rFonts w:ascii="Times New Roman" w:hAnsi="Times New Roman" w:cs="Times New Roman"/>
          <w:i/>
          <w:iCs/>
          <w:sz w:val="24"/>
          <w:szCs w:val="24"/>
        </w:rPr>
        <w:t>Remaking U.S. Trade Policy: From Protectionism to Globalization</w:t>
      </w:r>
      <w:r w:rsidRPr="00A41C8C">
        <w:rPr>
          <w:rFonts w:ascii="Times New Roman" w:hAnsi="Times New Roman" w:cs="Times New Roman"/>
          <w:sz w:val="24"/>
          <w:szCs w:val="24"/>
        </w:rPr>
        <w:t>. Cornell University Press.</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B27529">
        <w:rPr>
          <w:rFonts w:ascii="Times New Roman" w:hAnsi="Times New Roman" w:cs="Times New Roman"/>
          <w:sz w:val="24"/>
          <w:szCs w:val="24"/>
        </w:rPr>
        <w:t>Curcuru</w:t>
      </w:r>
      <w:proofErr w:type="spellEnd"/>
      <w:r w:rsidRPr="00B27529">
        <w:rPr>
          <w:rFonts w:ascii="Times New Roman" w:hAnsi="Times New Roman" w:cs="Times New Roman"/>
          <w:sz w:val="24"/>
          <w:szCs w:val="24"/>
        </w:rPr>
        <w:t>, Stephanie E. &amp; Thomas, Charles P. &amp; Warnock, Francis E., 2013. "On returns differentials," Journal of International Money and Finance, Elsevier, vol. 36(C), pages 1-25.</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A41C8C">
        <w:rPr>
          <w:rFonts w:ascii="Times New Roman" w:hAnsi="Times New Roman" w:cs="Times New Roman"/>
          <w:sz w:val="24"/>
          <w:szCs w:val="24"/>
        </w:rPr>
        <w:t xml:space="preserve">Department of State, Office of the Historian. “Memorandum of Conversation: Foreign Relations of the United States, 1969–1976, Volume XXXI, Foreign Economic Policy, 1973–1976.” </w:t>
      </w:r>
      <w:hyperlink r:id="rId10" w:history="1">
        <w:r w:rsidRPr="00A41C8C">
          <w:rPr>
            <w:rStyle w:val="Hyperlink"/>
            <w:rFonts w:ascii="Times New Roman" w:hAnsi="Times New Roman" w:cs="Times New Roman"/>
            <w:sz w:val="24"/>
            <w:szCs w:val="24"/>
          </w:rPr>
          <w:t>https://history.state.gov/historicaldocuments/frus1969-76v31/d123</w:t>
        </w:r>
      </w:hyperlink>
      <w:r w:rsidRPr="00A41C8C">
        <w:rPr>
          <w:rFonts w:ascii="Times New Roman" w:hAnsi="Times New Roman" w:cs="Times New Roman"/>
          <w:sz w:val="24"/>
          <w:szCs w:val="24"/>
        </w:rPr>
        <w:t xml:space="preserve"> (April 1, 2019).</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74080F">
        <w:rPr>
          <w:rFonts w:ascii="Times New Roman" w:hAnsi="Times New Roman" w:cs="Times New Roman"/>
          <w:sz w:val="24"/>
          <w:szCs w:val="24"/>
        </w:rPr>
        <w:t>Despres</w:t>
      </w:r>
      <w:proofErr w:type="spellEnd"/>
      <w:r w:rsidRPr="0074080F">
        <w:rPr>
          <w:rFonts w:ascii="Times New Roman" w:hAnsi="Times New Roman" w:cs="Times New Roman"/>
          <w:sz w:val="24"/>
          <w:szCs w:val="24"/>
        </w:rPr>
        <w:t xml:space="preserve">, Emile, Charles </w:t>
      </w:r>
      <w:proofErr w:type="spellStart"/>
      <w:r w:rsidRPr="0074080F">
        <w:rPr>
          <w:rFonts w:ascii="Times New Roman" w:hAnsi="Times New Roman" w:cs="Times New Roman"/>
          <w:sz w:val="24"/>
          <w:szCs w:val="24"/>
        </w:rPr>
        <w:t>Kindleberger</w:t>
      </w:r>
      <w:proofErr w:type="spellEnd"/>
      <w:r w:rsidRPr="0074080F">
        <w:rPr>
          <w:rFonts w:ascii="Times New Roman" w:hAnsi="Times New Roman" w:cs="Times New Roman"/>
          <w:sz w:val="24"/>
          <w:szCs w:val="24"/>
        </w:rPr>
        <w:t xml:space="preserve">, and Walter </w:t>
      </w:r>
      <w:proofErr w:type="spellStart"/>
      <w:r w:rsidRPr="0074080F">
        <w:rPr>
          <w:rFonts w:ascii="Times New Roman" w:hAnsi="Times New Roman" w:cs="Times New Roman"/>
          <w:sz w:val="24"/>
          <w:szCs w:val="24"/>
        </w:rPr>
        <w:t>Salant</w:t>
      </w:r>
      <w:proofErr w:type="spellEnd"/>
      <w:r w:rsidRPr="0074080F">
        <w:rPr>
          <w:rFonts w:ascii="Times New Roman" w:hAnsi="Times New Roman" w:cs="Times New Roman"/>
          <w:sz w:val="24"/>
          <w:szCs w:val="24"/>
        </w:rPr>
        <w:t>. 1966. The dollar and world liquidity: A minority view. The Economist 218 (5): 526–29.</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Dodd, Nigel. 2016. </w:t>
      </w:r>
      <w:r w:rsidRPr="00890316">
        <w:rPr>
          <w:rFonts w:ascii="Times New Roman" w:hAnsi="Times New Roman" w:cs="Times New Roman"/>
          <w:i/>
          <w:iCs/>
          <w:sz w:val="24"/>
          <w:szCs w:val="24"/>
        </w:rPr>
        <w:t>The Social Life of Money</w:t>
      </w:r>
      <w:r w:rsidRPr="00890316">
        <w:rPr>
          <w:rFonts w:ascii="Times New Roman" w:hAnsi="Times New Roman" w:cs="Times New Roman"/>
          <w:sz w:val="24"/>
          <w:szCs w:val="24"/>
        </w:rPr>
        <w:t>. Princeton University Press.</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0293B">
        <w:rPr>
          <w:rFonts w:ascii="Times New Roman" w:hAnsi="Times New Roman" w:cs="Times New Roman"/>
          <w:sz w:val="24"/>
          <w:szCs w:val="24"/>
          <w:shd w:val="clear" w:color="auto" w:fill="FFFFFF"/>
        </w:rPr>
        <w:t xml:space="preserve">Dooley, Michael P., David </w:t>
      </w:r>
      <w:proofErr w:type="spellStart"/>
      <w:r w:rsidRPr="00B0293B">
        <w:rPr>
          <w:rFonts w:ascii="Times New Roman" w:hAnsi="Times New Roman" w:cs="Times New Roman"/>
          <w:sz w:val="24"/>
          <w:szCs w:val="24"/>
          <w:shd w:val="clear" w:color="auto" w:fill="FFFFFF"/>
        </w:rPr>
        <w:t>Folkerts</w:t>
      </w:r>
      <w:proofErr w:type="spellEnd"/>
      <w:r w:rsidRPr="00B0293B">
        <w:rPr>
          <w:rFonts w:ascii="Times New Roman" w:hAnsi="Times New Roman" w:cs="Times New Roman"/>
          <w:sz w:val="24"/>
          <w:szCs w:val="24"/>
          <w:shd w:val="clear" w:color="auto" w:fill="FFFFFF"/>
        </w:rPr>
        <w:t>-Landau and Peter Garber. "The Revived Bretton Woods System," International Journal of Finance and Economics 9(4): 307-313, October 2004</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A41C8C">
        <w:rPr>
          <w:rFonts w:ascii="Times New Roman" w:hAnsi="Times New Roman" w:cs="Times New Roman"/>
          <w:sz w:val="24"/>
          <w:szCs w:val="24"/>
        </w:rPr>
        <w:t>Dreiling</w:t>
      </w:r>
      <w:proofErr w:type="spellEnd"/>
      <w:r w:rsidRPr="00A41C8C">
        <w:rPr>
          <w:rFonts w:ascii="Times New Roman" w:hAnsi="Times New Roman" w:cs="Times New Roman"/>
          <w:sz w:val="24"/>
          <w:szCs w:val="24"/>
        </w:rPr>
        <w:t xml:space="preserve">, Michael C., and Derek Y. </w:t>
      </w:r>
      <w:proofErr w:type="spellStart"/>
      <w:r w:rsidRPr="00A41C8C">
        <w:rPr>
          <w:rFonts w:ascii="Times New Roman" w:hAnsi="Times New Roman" w:cs="Times New Roman"/>
          <w:sz w:val="24"/>
          <w:szCs w:val="24"/>
        </w:rPr>
        <w:t>Darves</w:t>
      </w:r>
      <w:proofErr w:type="spellEnd"/>
      <w:r w:rsidRPr="00A41C8C">
        <w:rPr>
          <w:rFonts w:ascii="Times New Roman" w:hAnsi="Times New Roman" w:cs="Times New Roman"/>
          <w:sz w:val="24"/>
          <w:szCs w:val="24"/>
        </w:rPr>
        <w:t xml:space="preserve">. 2016. </w:t>
      </w:r>
      <w:r w:rsidRPr="00A41C8C">
        <w:rPr>
          <w:rFonts w:ascii="Times New Roman" w:hAnsi="Times New Roman" w:cs="Times New Roman"/>
          <w:i/>
          <w:iCs/>
          <w:sz w:val="24"/>
          <w:szCs w:val="24"/>
        </w:rPr>
        <w:t>Agents of Neoliberal Globalization: Corporate Networks, State Structures, and Trade Policy</w:t>
      </w:r>
      <w:r w:rsidRPr="00A41C8C">
        <w:rPr>
          <w:rFonts w:ascii="Times New Roman" w:hAnsi="Times New Roman" w:cs="Times New Roman"/>
          <w:sz w:val="24"/>
          <w:szCs w:val="24"/>
        </w:rPr>
        <w:t>. Cambridge University Press.</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sidRPr="00B0293B">
        <w:rPr>
          <w:rFonts w:ascii="Times New Roman" w:hAnsi="Times New Roman" w:cs="Times New Roman"/>
          <w:sz w:val="24"/>
          <w:szCs w:val="24"/>
        </w:rPr>
        <w:t>Feldstein M. International Capital Flows. Chicago: University of Chicago Press; 1999.</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Gagnon, Joseph E. 2012. “Global Imbalances and Foreign Asset Expansion by Developing Economy Central Banks.” Working Paper 12-5. Washington DC: The Peterson Institute for International Economics. https://piie.com/publications/working-papers/global-imbalances-and-foreign-asset-expansion-developing-economy-central.</w:t>
      </w:r>
    </w:p>
    <w:p w:rsidR="006962DB" w:rsidRPr="006F3473" w:rsidRDefault="006962DB" w:rsidP="006962DB">
      <w:pPr>
        <w:spacing w:after="0" w:line="240" w:lineRule="auto"/>
        <w:ind w:left="720" w:hanging="720"/>
        <w:contextualSpacing/>
        <w:mirrorIndents/>
        <w:rPr>
          <w:rFonts w:ascii="Times New Roman" w:eastAsia="Times New Roman" w:hAnsi="Times New Roman" w:cs="Times New Roman"/>
          <w:sz w:val="24"/>
          <w:szCs w:val="24"/>
        </w:rPr>
      </w:pPr>
      <w:r w:rsidRPr="006F3473">
        <w:rPr>
          <w:rFonts w:ascii="Times New Roman" w:eastAsia="Times New Roman" w:hAnsi="Times New Roman" w:cs="Times New Roman"/>
          <w:sz w:val="24"/>
          <w:szCs w:val="24"/>
        </w:rPr>
        <w:t xml:space="preserve">Gillespie, Patrick. 2017. “Remove Car Imports, and U.S.-Mexico Trade Deficit Disappears.” </w:t>
      </w:r>
      <w:r w:rsidRPr="006F3473">
        <w:rPr>
          <w:rFonts w:ascii="Times New Roman" w:eastAsia="Times New Roman" w:hAnsi="Times New Roman" w:cs="Times New Roman"/>
          <w:i/>
          <w:iCs/>
          <w:sz w:val="24"/>
          <w:szCs w:val="24"/>
        </w:rPr>
        <w:t>CNNMoney</w:t>
      </w:r>
      <w:r w:rsidRPr="006F3473">
        <w:rPr>
          <w:rFonts w:ascii="Times New Roman" w:eastAsia="Times New Roman" w:hAnsi="Times New Roman" w:cs="Times New Roman"/>
          <w:sz w:val="24"/>
          <w:szCs w:val="24"/>
        </w:rPr>
        <w:t>. Retrieved March 4, 2019 (</w:t>
      </w:r>
      <w:hyperlink r:id="rId11" w:history="1">
        <w:r w:rsidRPr="006F3473">
          <w:rPr>
            <w:rFonts w:ascii="Times New Roman" w:eastAsia="Times New Roman" w:hAnsi="Times New Roman" w:cs="Times New Roman"/>
            <w:color w:val="0000FF"/>
            <w:sz w:val="24"/>
            <w:szCs w:val="24"/>
            <w:u w:val="single"/>
          </w:rPr>
          <w:t>https://money.cnn.com/2017/01/09/news/economy/us-mexico-trump-cars-imports-trade-deficit/index.html</w:t>
        </w:r>
      </w:hyperlink>
      <w:r w:rsidRPr="006F3473">
        <w:rPr>
          <w:rFonts w:ascii="Times New Roman" w:eastAsia="Times New Roman" w:hAnsi="Times New Roman" w:cs="Times New Roman"/>
          <w:sz w:val="24"/>
          <w:szCs w:val="24"/>
        </w:rPr>
        <w:t>).</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890316">
        <w:rPr>
          <w:rFonts w:ascii="Times New Roman" w:hAnsi="Times New Roman" w:cs="Times New Roman"/>
          <w:sz w:val="24"/>
          <w:szCs w:val="24"/>
        </w:rPr>
        <w:t>Gourinchas</w:t>
      </w:r>
      <w:proofErr w:type="spellEnd"/>
      <w:r w:rsidRPr="00890316">
        <w:rPr>
          <w:rFonts w:ascii="Times New Roman" w:hAnsi="Times New Roman" w:cs="Times New Roman"/>
          <w:sz w:val="24"/>
          <w:szCs w:val="24"/>
        </w:rPr>
        <w:t>, Pierre-Olivier, and Hélène Rey. 2005. “From World Banker to World Venture Capitalist: US External Adjustment and the Exorbitant Privilege.” w11563. Cambridge, MA: National Bureau of Economic Research. https://doi.org/10.3386/w11563.</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Griswold, Daniel. 1998. “America’s Maligned and Misunderstood Trade Deficit.” Cato Institute. https://www.cato.org/publications/trade-policy-analysis/americas-maligned-misunderstood-trade-deficit.</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A41C8C">
        <w:rPr>
          <w:rFonts w:ascii="Times New Roman" w:hAnsi="Times New Roman" w:cs="Times New Roman"/>
          <w:sz w:val="24"/>
          <w:szCs w:val="24"/>
        </w:rPr>
        <w:t xml:space="preserve">Habib, Maurizio Michael. 2010. </w:t>
      </w:r>
      <w:r w:rsidRPr="00A41C8C">
        <w:rPr>
          <w:rFonts w:ascii="Times New Roman" w:hAnsi="Times New Roman" w:cs="Times New Roman"/>
          <w:i/>
          <w:iCs/>
          <w:sz w:val="24"/>
          <w:szCs w:val="24"/>
        </w:rPr>
        <w:t xml:space="preserve">Excess Returns on Net Foreign Assets: The Exorbitant Privilege </w:t>
      </w:r>
      <w:r w:rsidRPr="00A41C8C">
        <w:rPr>
          <w:rFonts w:ascii="Times New Roman" w:hAnsi="Times New Roman" w:cs="Times New Roman"/>
          <w:i/>
          <w:iCs/>
          <w:sz w:val="24"/>
          <w:szCs w:val="24"/>
        </w:rPr>
        <w:lastRenderedPageBreak/>
        <w:t>From a Global Perspective</w:t>
      </w:r>
      <w:r w:rsidRPr="00A41C8C">
        <w:rPr>
          <w:rFonts w:ascii="Times New Roman" w:hAnsi="Times New Roman" w:cs="Times New Roman"/>
          <w:sz w:val="24"/>
          <w:szCs w:val="24"/>
        </w:rPr>
        <w:t xml:space="preserve">. Rochester, NY: Social Science Research Network. SSRN Scholarly Paper. </w:t>
      </w:r>
      <w:hyperlink r:id="rId12" w:history="1">
        <w:r w:rsidRPr="00A41C8C">
          <w:rPr>
            <w:rStyle w:val="Hyperlink"/>
            <w:rFonts w:ascii="Times New Roman" w:hAnsi="Times New Roman" w:cs="Times New Roman"/>
            <w:sz w:val="24"/>
            <w:szCs w:val="24"/>
          </w:rPr>
          <w:t>https://papers.ssrn.com/abstract=1551873</w:t>
        </w:r>
      </w:hyperlink>
      <w:r w:rsidRPr="00A41C8C">
        <w:rPr>
          <w:rFonts w:ascii="Times New Roman" w:hAnsi="Times New Roman" w:cs="Times New Roman"/>
          <w:sz w:val="24"/>
          <w:szCs w:val="24"/>
        </w:rPr>
        <w:t xml:space="preserve"> (March 31, 2019).</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Hart, Keith. 2000. </w:t>
      </w:r>
      <w:r w:rsidRPr="00890316">
        <w:rPr>
          <w:rFonts w:ascii="Times New Roman" w:hAnsi="Times New Roman" w:cs="Times New Roman"/>
          <w:i/>
          <w:iCs/>
          <w:sz w:val="24"/>
          <w:szCs w:val="24"/>
        </w:rPr>
        <w:t>The Memory Bank: Money in an Unequal World</w:t>
      </w:r>
      <w:r w:rsidRPr="00890316">
        <w:rPr>
          <w:rFonts w:ascii="Times New Roman" w:hAnsi="Times New Roman" w:cs="Times New Roman"/>
          <w:sz w:val="24"/>
          <w:szCs w:val="24"/>
        </w:rPr>
        <w:t xml:space="preserve">. </w:t>
      </w:r>
      <w:proofErr w:type="spellStart"/>
      <w:r w:rsidRPr="00890316">
        <w:rPr>
          <w:rFonts w:ascii="Times New Roman" w:hAnsi="Times New Roman" w:cs="Times New Roman"/>
          <w:sz w:val="24"/>
          <w:szCs w:val="24"/>
        </w:rPr>
        <w:t>Textere</w:t>
      </w:r>
      <w:proofErr w:type="spellEnd"/>
      <w:r w:rsidRPr="00890316">
        <w:rPr>
          <w:rFonts w:ascii="Times New Roman" w:hAnsi="Times New Roman" w:cs="Times New Roman"/>
          <w:sz w:val="24"/>
          <w:szCs w:val="24"/>
        </w:rPr>
        <w:t>.</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Hayward, Steven F. 2009. </w:t>
      </w:r>
      <w:r w:rsidRPr="00890316">
        <w:rPr>
          <w:rFonts w:ascii="Times New Roman" w:hAnsi="Times New Roman" w:cs="Times New Roman"/>
          <w:i/>
          <w:iCs/>
          <w:sz w:val="24"/>
          <w:szCs w:val="24"/>
        </w:rPr>
        <w:t>The Age of Reagan: The Conservative Counterrevolution: 1980-1989</w:t>
      </w:r>
      <w:r w:rsidRPr="00890316">
        <w:rPr>
          <w:rFonts w:ascii="Times New Roman" w:hAnsi="Times New Roman" w:cs="Times New Roman"/>
          <w:sz w:val="24"/>
          <w:szCs w:val="24"/>
        </w:rPr>
        <w:t>. Crown Publishing Group.</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Hudson, Michael. 2003. </w:t>
      </w:r>
      <w:r w:rsidRPr="00890316">
        <w:rPr>
          <w:rFonts w:ascii="Times New Roman" w:hAnsi="Times New Roman" w:cs="Times New Roman"/>
          <w:i/>
          <w:iCs/>
          <w:sz w:val="24"/>
          <w:szCs w:val="24"/>
        </w:rPr>
        <w:t>Super Imperialism: The Origin and Fundamentals of U.S. World Dominance</w:t>
      </w:r>
      <w:r w:rsidRPr="00890316">
        <w:rPr>
          <w:rFonts w:ascii="Times New Roman" w:hAnsi="Times New Roman" w:cs="Times New Roman"/>
          <w:sz w:val="24"/>
          <w:szCs w:val="24"/>
        </w:rPr>
        <w:t>. Pluto Press.</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Ingham, Geoffrey. 20</w:t>
      </w:r>
      <w:r>
        <w:rPr>
          <w:rFonts w:ascii="Times New Roman" w:hAnsi="Times New Roman" w:cs="Times New Roman"/>
          <w:sz w:val="24"/>
          <w:szCs w:val="24"/>
        </w:rPr>
        <w:t>04</w:t>
      </w:r>
      <w:r w:rsidRPr="00890316">
        <w:rPr>
          <w:rFonts w:ascii="Times New Roman" w:hAnsi="Times New Roman" w:cs="Times New Roman"/>
          <w:sz w:val="24"/>
          <w:szCs w:val="24"/>
        </w:rPr>
        <w:t xml:space="preserve">. </w:t>
      </w:r>
      <w:r w:rsidRPr="00890316">
        <w:rPr>
          <w:rFonts w:ascii="Times New Roman" w:hAnsi="Times New Roman" w:cs="Times New Roman"/>
          <w:i/>
          <w:iCs/>
          <w:sz w:val="24"/>
          <w:szCs w:val="24"/>
        </w:rPr>
        <w:t>The Nature of Money</w:t>
      </w:r>
      <w:r w:rsidRPr="00890316">
        <w:rPr>
          <w:rFonts w:ascii="Times New Roman" w:hAnsi="Times New Roman" w:cs="Times New Roman"/>
          <w:sz w:val="24"/>
          <w:szCs w:val="24"/>
        </w:rPr>
        <w:t xml:space="preserve">. </w:t>
      </w:r>
      <w:r>
        <w:rPr>
          <w:rFonts w:ascii="Times New Roman" w:hAnsi="Times New Roman" w:cs="Times New Roman"/>
          <w:sz w:val="24"/>
          <w:szCs w:val="24"/>
        </w:rPr>
        <w:t>Polity, 1rst Edition</w:t>
      </w:r>
      <w:r w:rsidRPr="00890316">
        <w:rPr>
          <w:rFonts w:ascii="Times New Roman" w:hAnsi="Times New Roman" w:cs="Times New Roman"/>
          <w:sz w:val="24"/>
          <w:szCs w:val="24"/>
        </w:rPr>
        <w:t>.</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International Monetary Fund. 2014. “Revised Guidelines for Foreign Exchange Reserve Management.” </w:t>
      </w:r>
      <w:r w:rsidRPr="00890316">
        <w:rPr>
          <w:rFonts w:ascii="Times New Roman" w:hAnsi="Times New Roman" w:cs="Times New Roman"/>
          <w:i/>
          <w:sz w:val="24"/>
          <w:szCs w:val="24"/>
        </w:rPr>
        <w:t>International Monetary Fund</w:t>
      </w:r>
      <w:r w:rsidRPr="00890316">
        <w:rPr>
          <w:rFonts w:ascii="Times New Roman" w:hAnsi="Times New Roman" w:cs="Times New Roman"/>
          <w:sz w:val="24"/>
          <w:szCs w:val="24"/>
        </w:rPr>
        <w:t>. https://www.imf.org/en/Publications/Manuals-Guides/Issues/2016/12/31/Revised-Guidelines-for-Foreign-Exchange-Reserve-Management-41062.</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 2016. “Money Matters, an IMF Exhibit -- The Importance of Global Cooperation.” </w:t>
      </w:r>
      <w:r w:rsidRPr="00890316">
        <w:rPr>
          <w:rFonts w:ascii="Times New Roman" w:hAnsi="Times New Roman" w:cs="Times New Roman"/>
          <w:i/>
          <w:sz w:val="24"/>
          <w:szCs w:val="24"/>
        </w:rPr>
        <w:t>International Monetary Fund.</w:t>
      </w:r>
      <w:r w:rsidRPr="00890316">
        <w:rPr>
          <w:rFonts w:ascii="Times New Roman" w:hAnsi="Times New Roman" w:cs="Times New Roman"/>
          <w:sz w:val="24"/>
          <w:szCs w:val="24"/>
        </w:rPr>
        <w:t xml:space="preserve"> </w:t>
      </w:r>
      <w:hyperlink r:id="rId13" w:history="1">
        <w:r w:rsidRPr="003F4647">
          <w:rPr>
            <w:rStyle w:val="Hyperlink"/>
            <w:rFonts w:ascii="Times New Roman" w:hAnsi="Times New Roman" w:cs="Times New Roman"/>
            <w:sz w:val="24"/>
            <w:szCs w:val="24"/>
          </w:rPr>
          <w:t>https://www.imf.org/external/np/exr/center/mm/eng/mm_cc_01.htm</w:t>
        </w:r>
      </w:hyperlink>
      <w:r w:rsidRPr="00890316">
        <w:rPr>
          <w:rFonts w:ascii="Times New Roman" w:hAnsi="Times New Roman" w:cs="Times New Roman"/>
          <w:sz w:val="24"/>
          <w:szCs w:val="24"/>
        </w:rPr>
        <w:t>.</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DC0ADF">
        <w:rPr>
          <w:rFonts w:ascii="Times New Roman" w:hAnsi="Times New Roman" w:cs="Times New Roman"/>
          <w:sz w:val="24"/>
          <w:szCs w:val="24"/>
        </w:rPr>
        <w:t>Kalleberg</w:t>
      </w:r>
      <w:proofErr w:type="spellEnd"/>
      <w:r>
        <w:rPr>
          <w:rFonts w:ascii="Times New Roman" w:hAnsi="Times New Roman" w:cs="Times New Roman"/>
          <w:sz w:val="24"/>
          <w:szCs w:val="24"/>
        </w:rPr>
        <w:t>, Arne.</w:t>
      </w:r>
      <w:r w:rsidRPr="00DC0ADF">
        <w:rPr>
          <w:rFonts w:ascii="Times New Roman" w:hAnsi="Times New Roman" w:cs="Times New Roman"/>
          <w:sz w:val="24"/>
          <w:szCs w:val="24"/>
        </w:rPr>
        <w:t xml:space="preserve"> </w:t>
      </w:r>
      <w:r w:rsidRPr="00DC0ADF">
        <w:rPr>
          <w:rFonts w:ascii="Times New Roman" w:hAnsi="Times New Roman" w:cs="Times New Roman"/>
          <w:i/>
          <w:sz w:val="24"/>
          <w:szCs w:val="24"/>
        </w:rPr>
        <w:t>Good jobs, bad jobs: The rise of polarized and precarious employment systems in the United States, 1970s-2000s</w:t>
      </w:r>
      <w:r>
        <w:rPr>
          <w:rFonts w:ascii="Times New Roman" w:hAnsi="Times New Roman" w:cs="Times New Roman"/>
          <w:sz w:val="24"/>
          <w:szCs w:val="24"/>
        </w:rPr>
        <w:t>.</w:t>
      </w:r>
      <w:r w:rsidRPr="00DC0ADF">
        <w:rPr>
          <w:rFonts w:ascii="Times New Roman" w:hAnsi="Times New Roman" w:cs="Times New Roman"/>
          <w:sz w:val="24"/>
          <w:szCs w:val="24"/>
        </w:rPr>
        <w:t xml:space="preserve"> Russell Sage Foundation</w:t>
      </w:r>
      <w:r>
        <w:rPr>
          <w:rFonts w:ascii="Times New Roman" w:hAnsi="Times New Roman" w:cs="Times New Roman"/>
          <w:sz w:val="24"/>
          <w:szCs w:val="24"/>
        </w:rPr>
        <w:t>.</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sidRPr="00120DA7">
        <w:rPr>
          <w:rFonts w:ascii="Times New Roman" w:hAnsi="Times New Roman" w:cs="Times New Roman"/>
          <w:sz w:val="24"/>
          <w:szCs w:val="24"/>
        </w:rPr>
        <w:t>Keynes, John Maynard, 1883-1946. (1936). The general theory of employment, interest and money. London :Macmillan,</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74080F">
        <w:rPr>
          <w:rFonts w:ascii="Times New Roman" w:hAnsi="Times New Roman" w:cs="Times New Roman"/>
          <w:sz w:val="24"/>
          <w:szCs w:val="24"/>
        </w:rPr>
        <w:t>Kindleberger</w:t>
      </w:r>
      <w:proofErr w:type="spellEnd"/>
      <w:r w:rsidRPr="0074080F">
        <w:rPr>
          <w:rFonts w:ascii="Times New Roman" w:hAnsi="Times New Roman" w:cs="Times New Roman"/>
          <w:sz w:val="24"/>
          <w:szCs w:val="24"/>
        </w:rPr>
        <w:t>, Charles. 1965. Balance of payments deficits and the international market for liquidity. Princeton Studies in International Finance, no. 46. Princeton University, Department of Economics, International Finance Section.</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120DA7">
        <w:rPr>
          <w:rFonts w:ascii="Times New Roman" w:hAnsi="Times New Roman" w:cs="Times New Roman"/>
          <w:sz w:val="24"/>
          <w:szCs w:val="24"/>
        </w:rPr>
        <w:t>Knapp</w:t>
      </w:r>
      <w:r>
        <w:rPr>
          <w:rFonts w:ascii="Times New Roman" w:hAnsi="Times New Roman" w:cs="Times New Roman"/>
          <w:sz w:val="24"/>
          <w:szCs w:val="24"/>
        </w:rPr>
        <w:t xml:space="preserve">, </w:t>
      </w:r>
      <w:r w:rsidRPr="00120DA7">
        <w:rPr>
          <w:rFonts w:ascii="Times New Roman" w:hAnsi="Times New Roman" w:cs="Times New Roman"/>
          <w:sz w:val="24"/>
          <w:szCs w:val="24"/>
        </w:rPr>
        <w:t>Georg Friedrich.</w:t>
      </w:r>
      <w:r>
        <w:rPr>
          <w:rFonts w:ascii="Times New Roman" w:hAnsi="Times New Roman" w:cs="Times New Roman"/>
          <w:sz w:val="24"/>
          <w:szCs w:val="24"/>
        </w:rPr>
        <w:t xml:space="preserve"> 1924.</w:t>
      </w:r>
      <w:r w:rsidRPr="00120DA7">
        <w:rPr>
          <w:rFonts w:ascii="Times New Roman" w:hAnsi="Times New Roman" w:cs="Times New Roman"/>
          <w:sz w:val="24"/>
          <w:szCs w:val="24"/>
        </w:rPr>
        <w:t xml:space="preserve"> </w:t>
      </w:r>
      <w:r w:rsidRPr="00120DA7">
        <w:rPr>
          <w:rFonts w:ascii="Times New Roman" w:hAnsi="Times New Roman" w:cs="Times New Roman"/>
          <w:i/>
          <w:sz w:val="24"/>
          <w:szCs w:val="24"/>
        </w:rPr>
        <w:t>The State Theory of Money</w:t>
      </w:r>
      <w:r>
        <w:rPr>
          <w:rFonts w:ascii="Times New Roman" w:hAnsi="Times New Roman" w:cs="Times New Roman"/>
          <w:sz w:val="24"/>
          <w:szCs w:val="24"/>
        </w:rPr>
        <w:t xml:space="preserve">. </w:t>
      </w:r>
      <w:r w:rsidRPr="00120DA7">
        <w:rPr>
          <w:rFonts w:ascii="Times New Roman" w:hAnsi="Times New Roman" w:cs="Times New Roman"/>
          <w:sz w:val="24"/>
          <w:szCs w:val="24"/>
        </w:rPr>
        <w:t xml:space="preserve">Abridged edition, translated by H. M. Lucas and J. Bo- </w:t>
      </w:r>
      <w:proofErr w:type="spellStart"/>
      <w:r w:rsidRPr="00120DA7">
        <w:rPr>
          <w:rFonts w:ascii="Times New Roman" w:hAnsi="Times New Roman" w:cs="Times New Roman"/>
          <w:sz w:val="24"/>
          <w:szCs w:val="24"/>
        </w:rPr>
        <w:t>nar</w:t>
      </w:r>
      <w:proofErr w:type="spellEnd"/>
      <w:r w:rsidRPr="00120DA7">
        <w:rPr>
          <w:rFonts w:ascii="Times New Roman" w:hAnsi="Times New Roman" w:cs="Times New Roman"/>
          <w:sz w:val="24"/>
          <w:szCs w:val="24"/>
        </w:rPr>
        <w:t>. London: Macmillan &amp; Co., 1924.</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A41C8C">
        <w:rPr>
          <w:rFonts w:ascii="Times New Roman" w:hAnsi="Times New Roman" w:cs="Times New Roman"/>
          <w:sz w:val="24"/>
          <w:szCs w:val="24"/>
        </w:rPr>
        <w:t xml:space="preserve">Knapp, Georg Friedrich. 2013. </w:t>
      </w:r>
      <w:r w:rsidRPr="00A41C8C">
        <w:rPr>
          <w:rFonts w:ascii="Times New Roman" w:hAnsi="Times New Roman" w:cs="Times New Roman"/>
          <w:i/>
          <w:iCs/>
          <w:sz w:val="24"/>
          <w:szCs w:val="24"/>
        </w:rPr>
        <w:t>The State Theory of Money</w:t>
      </w:r>
      <w:r w:rsidRPr="00A41C8C">
        <w:rPr>
          <w:rFonts w:ascii="Times New Roman" w:hAnsi="Times New Roman" w:cs="Times New Roman"/>
          <w:sz w:val="24"/>
          <w:szCs w:val="24"/>
        </w:rPr>
        <w:t>. Martino Fine Books.</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Krugman, Paul, Maurice Obstfeld, and Marc J. Melitz. 2012. </w:t>
      </w:r>
      <w:r w:rsidRPr="00890316">
        <w:rPr>
          <w:rFonts w:ascii="Times New Roman" w:hAnsi="Times New Roman" w:cs="Times New Roman"/>
          <w:i/>
          <w:iCs/>
          <w:sz w:val="24"/>
          <w:szCs w:val="24"/>
        </w:rPr>
        <w:t>International Economics: Theory and Policy</w:t>
      </w:r>
      <w:r w:rsidRPr="00890316">
        <w:rPr>
          <w:rFonts w:ascii="Times New Roman" w:hAnsi="Times New Roman" w:cs="Times New Roman"/>
          <w:sz w:val="24"/>
          <w:szCs w:val="24"/>
        </w:rPr>
        <w:t>. 9th ed. Boston: Pearson Education.</w:t>
      </w:r>
    </w:p>
    <w:p w:rsidR="006962DB" w:rsidRDefault="006962DB" w:rsidP="006962DB">
      <w:pPr>
        <w:spacing w:after="0" w:line="240" w:lineRule="auto"/>
        <w:ind w:left="720" w:hanging="720"/>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Lakatos, </w:t>
      </w:r>
      <w:proofErr w:type="spellStart"/>
      <w:r>
        <w:rPr>
          <w:rFonts w:ascii="Times New Roman" w:eastAsia="Times New Roman" w:hAnsi="Times New Roman" w:cs="Times New Roman"/>
          <w:sz w:val="24"/>
          <w:szCs w:val="24"/>
        </w:rPr>
        <w:t>Csilla</w:t>
      </w:r>
      <w:proofErr w:type="spellEnd"/>
      <w:r>
        <w:rPr>
          <w:rFonts w:ascii="Times New Roman" w:eastAsia="Times New Roman" w:hAnsi="Times New Roman" w:cs="Times New Roman"/>
          <w:sz w:val="24"/>
          <w:szCs w:val="24"/>
        </w:rPr>
        <w:t xml:space="preserve"> and Franziska </w:t>
      </w:r>
      <w:proofErr w:type="spellStart"/>
      <w:r>
        <w:rPr>
          <w:rFonts w:ascii="Times New Roman" w:eastAsia="Times New Roman" w:hAnsi="Times New Roman" w:cs="Times New Roman"/>
          <w:sz w:val="24"/>
          <w:szCs w:val="24"/>
        </w:rPr>
        <w:t>Ohnsorge</w:t>
      </w:r>
      <w:proofErr w:type="spellEnd"/>
      <w:r>
        <w:rPr>
          <w:rFonts w:ascii="Times New Roman" w:eastAsia="Times New Roman" w:hAnsi="Times New Roman" w:cs="Times New Roman"/>
          <w:sz w:val="24"/>
          <w:szCs w:val="24"/>
        </w:rPr>
        <w:t xml:space="preserve">. 2017. “Arm’s-Length Trade: A Source of Post-Crisis Trade Weakness.” </w:t>
      </w:r>
      <w:r>
        <w:rPr>
          <w:rFonts w:ascii="Times New Roman" w:eastAsia="Times New Roman" w:hAnsi="Times New Roman" w:cs="Times New Roman"/>
          <w:i/>
          <w:iCs/>
          <w:sz w:val="24"/>
          <w:szCs w:val="24"/>
        </w:rPr>
        <w:t>VoxEU.Org</w:t>
      </w:r>
      <w:r>
        <w:rPr>
          <w:rFonts w:ascii="Times New Roman" w:eastAsia="Times New Roman" w:hAnsi="Times New Roman" w:cs="Times New Roman"/>
          <w:sz w:val="24"/>
          <w:szCs w:val="24"/>
        </w:rPr>
        <w:t>. Retrieved November 12, 2018 (</w:t>
      </w:r>
      <w:hyperlink r:id="rId14" w:history="1">
        <w:r>
          <w:rPr>
            <w:rStyle w:val="Hyperlink"/>
            <w:rFonts w:ascii="Times New Roman" w:eastAsia="Times New Roman" w:hAnsi="Times New Roman" w:cs="Times New Roman"/>
            <w:sz w:val="24"/>
            <w:szCs w:val="24"/>
          </w:rPr>
          <w:t>https://voxeu.org/article/arm-s-length-trade-source-post-crisis-trade-weakness</w:t>
        </w:r>
      </w:hyperlink>
      <w:r>
        <w:rPr>
          <w:rFonts w:ascii="Times New Roman" w:eastAsia="Times New Roman" w:hAnsi="Times New Roman" w:cs="Times New Roman"/>
          <w:sz w:val="24"/>
          <w:szCs w:val="24"/>
        </w:rPr>
        <w:t>).</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9D5FDD">
        <w:rPr>
          <w:rFonts w:ascii="Times New Roman" w:hAnsi="Times New Roman" w:cs="Times New Roman"/>
          <w:sz w:val="24"/>
          <w:szCs w:val="24"/>
        </w:rPr>
        <w:t>Lapavitsas</w:t>
      </w:r>
      <w:proofErr w:type="spellEnd"/>
      <w:r w:rsidRPr="009D5FDD">
        <w:rPr>
          <w:rFonts w:ascii="Times New Roman" w:hAnsi="Times New Roman" w:cs="Times New Roman"/>
          <w:sz w:val="24"/>
          <w:szCs w:val="24"/>
        </w:rPr>
        <w:t>, Costas (2003) Social Foundations of Markets, Money and Credit. London: Routledge.</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18425B">
        <w:rPr>
          <w:rFonts w:ascii="Times New Roman" w:hAnsi="Times New Roman" w:cs="Times New Roman"/>
          <w:sz w:val="24"/>
          <w:szCs w:val="24"/>
        </w:rPr>
        <w:t>Lapavitsas</w:t>
      </w:r>
      <w:proofErr w:type="spellEnd"/>
      <w:r w:rsidRPr="0018425B">
        <w:rPr>
          <w:rFonts w:ascii="Times New Roman" w:hAnsi="Times New Roman" w:cs="Times New Roman"/>
          <w:sz w:val="24"/>
          <w:szCs w:val="24"/>
        </w:rPr>
        <w:t>, Costas (2006) 'Power and Trust as Constituents of Money and Credit'. Historical Materialism, (14) 1, pp 129-154.</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shd w:val="clear" w:color="auto" w:fill="FFFFFF"/>
        </w:rPr>
      </w:pPr>
      <w:proofErr w:type="spellStart"/>
      <w:r w:rsidRPr="009D5FDD">
        <w:rPr>
          <w:rFonts w:ascii="Times New Roman" w:hAnsi="Times New Roman" w:cs="Times New Roman"/>
          <w:sz w:val="24"/>
          <w:szCs w:val="24"/>
          <w:shd w:val="clear" w:color="auto" w:fill="FFFFFF"/>
        </w:rPr>
        <w:t>Lapavitsas</w:t>
      </w:r>
      <w:proofErr w:type="spellEnd"/>
      <w:r w:rsidRPr="009D5FDD">
        <w:rPr>
          <w:rFonts w:ascii="Times New Roman" w:hAnsi="Times New Roman" w:cs="Times New Roman"/>
          <w:sz w:val="24"/>
          <w:szCs w:val="24"/>
          <w:shd w:val="clear" w:color="auto" w:fill="FFFFFF"/>
        </w:rPr>
        <w:t xml:space="preserve">, Costas, (ed.), (2016) Marxist Monetary Theory: Collected Papers of Costas </w:t>
      </w:r>
      <w:proofErr w:type="spellStart"/>
      <w:r w:rsidRPr="009D5FDD">
        <w:rPr>
          <w:rFonts w:ascii="Times New Roman" w:hAnsi="Times New Roman" w:cs="Times New Roman"/>
          <w:sz w:val="24"/>
          <w:szCs w:val="24"/>
          <w:shd w:val="clear" w:color="auto" w:fill="FFFFFF"/>
        </w:rPr>
        <w:t>Lapavitsas</w:t>
      </w:r>
      <w:proofErr w:type="spellEnd"/>
      <w:r w:rsidRPr="009D5FDD">
        <w:rPr>
          <w:rFonts w:ascii="Times New Roman" w:hAnsi="Times New Roman" w:cs="Times New Roman"/>
          <w:sz w:val="24"/>
          <w:szCs w:val="24"/>
          <w:shd w:val="clear" w:color="auto" w:fill="FFFFFF"/>
        </w:rPr>
        <w:t>. Leiden: Brill. (Historical Materialism Book Series; 134).</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A41C8C">
        <w:rPr>
          <w:rFonts w:ascii="Times New Roman" w:hAnsi="Times New Roman" w:cs="Times New Roman"/>
          <w:sz w:val="24"/>
          <w:szCs w:val="24"/>
        </w:rPr>
        <w:t xml:space="preserve">Liss, Jesse. 2019. “The Political Relationship between U.S. Multinational Corporations and the NAFTA Investment Chapter: The Case of Manufacturing Multinationals.” </w:t>
      </w:r>
      <w:r w:rsidRPr="00A41C8C">
        <w:rPr>
          <w:rFonts w:ascii="Times New Roman" w:hAnsi="Times New Roman" w:cs="Times New Roman"/>
          <w:i/>
          <w:iCs/>
          <w:sz w:val="24"/>
          <w:szCs w:val="24"/>
        </w:rPr>
        <w:t>Transnational Corporations Review</w:t>
      </w:r>
      <w:r w:rsidRPr="00A41C8C">
        <w:rPr>
          <w:rFonts w:ascii="Times New Roman" w:hAnsi="Times New Roman" w:cs="Times New Roman"/>
          <w:sz w:val="24"/>
          <w:szCs w:val="24"/>
        </w:rPr>
        <w:t xml:space="preserve"> 0(0): 1–17.</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sidRPr="0074080F">
        <w:rPr>
          <w:rFonts w:ascii="Times New Roman" w:hAnsi="Times New Roman" w:cs="Times New Roman"/>
          <w:sz w:val="24"/>
          <w:szCs w:val="24"/>
        </w:rPr>
        <w:t>Martin Feldstein, "Monetary Policy in a Changing International Environment: The Role of Global Capital Flows," in Stability and Economic Growth: The Role of the Central Bank (Banco de Mexico, 2006): 245-55</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McCracken, Paul. 1971. “Memorandum for the President.” Secretary for the Treasury. https://fraser.stlouisfed.org/files/docs/historical/nixon/mccmem710809.pdf.</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0808BB">
        <w:rPr>
          <w:rFonts w:ascii="Times New Roman" w:hAnsi="Times New Roman" w:cs="Times New Roman"/>
          <w:sz w:val="24"/>
          <w:szCs w:val="24"/>
        </w:rPr>
        <w:t xml:space="preserve">Panitch, Leo, </w:t>
      </w:r>
      <w:r>
        <w:rPr>
          <w:rFonts w:ascii="Times New Roman" w:hAnsi="Times New Roman" w:cs="Times New Roman"/>
          <w:sz w:val="24"/>
          <w:szCs w:val="24"/>
        </w:rPr>
        <w:t>&amp;</w:t>
      </w:r>
      <w:r w:rsidRPr="000808BB">
        <w:rPr>
          <w:rFonts w:ascii="Times New Roman" w:hAnsi="Times New Roman" w:cs="Times New Roman"/>
          <w:sz w:val="24"/>
          <w:szCs w:val="24"/>
        </w:rPr>
        <w:t xml:space="preserve"> Sam </w:t>
      </w:r>
      <w:proofErr w:type="spellStart"/>
      <w:r w:rsidRPr="000808BB">
        <w:rPr>
          <w:rFonts w:ascii="Times New Roman" w:hAnsi="Times New Roman" w:cs="Times New Roman"/>
          <w:sz w:val="24"/>
          <w:szCs w:val="24"/>
        </w:rPr>
        <w:t>Gindin</w:t>
      </w:r>
      <w:proofErr w:type="spellEnd"/>
      <w:r w:rsidRPr="000808BB">
        <w:rPr>
          <w:rFonts w:ascii="Times New Roman" w:hAnsi="Times New Roman" w:cs="Times New Roman"/>
          <w:sz w:val="24"/>
          <w:szCs w:val="24"/>
        </w:rPr>
        <w:t>. 2012. The Making of Global Capitalism: The Political Economy Of American Empire. NY: Verso Books.</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sidRPr="00890316">
        <w:rPr>
          <w:rFonts w:ascii="Times New Roman" w:hAnsi="Times New Roman" w:cs="Times New Roman"/>
          <w:sz w:val="24"/>
          <w:szCs w:val="24"/>
        </w:rPr>
        <w:lastRenderedPageBreak/>
        <w:t xml:space="preserve">Pettis, Michael. 2013. </w:t>
      </w:r>
      <w:r w:rsidRPr="00890316">
        <w:rPr>
          <w:rFonts w:ascii="Times New Roman" w:hAnsi="Times New Roman" w:cs="Times New Roman"/>
          <w:i/>
          <w:iCs/>
          <w:sz w:val="24"/>
          <w:szCs w:val="24"/>
        </w:rPr>
        <w:t>The Great Rebalancing: Trade, Conflict, and the Perilous Road Ahead for the World Economy</w:t>
      </w:r>
      <w:r w:rsidRPr="00890316">
        <w:rPr>
          <w:rFonts w:ascii="Times New Roman" w:hAnsi="Times New Roman" w:cs="Times New Roman"/>
          <w:sz w:val="24"/>
          <w:szCs w:val="24"/>
        </w:rPr>
        <w:t>. Princeton University Press.</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Prasad, </w:t>
      </w:r>
      <w:proofErr w:type="spellStart"/>
      <w:r w:rsidRPr="00890316">
        <w:rPr>
          <w:rFonts w:ascii="Times New Roman" w:hAnsi="Times New Roman" w:cs="Times New Roman"/>
          <w:sz w:val="24"/>
          <w:szCs w:val="24"/>
        </w:rPr>
        <w:t>Eswar</w:t>
      </w:r>
      <w:proofErr w:type="spellEnd"/>
      <w:r w:rsidRPr="00890316">
        <w:rPr>
          <w:rFonts w:ascii="Times New Roman" w:hAnsi="Times New Roman" w:cs="Times New Roman"/>
          <w:sz w:val="24"/>
          <w:szCs w:val="24"/>
        </w:rPr>
        <w:t xml:space="preserve">. 2014. </w:t>
      </w:r>
      <w:r w:rsidRPr="00890316">
        <w:rPr>
          <w:rFonts w:ascii="Times New Roman" w:hAnsi="Times New Roman" w:cs="Times New Roman"/>
          <w:i/>
          <w:iCs/>
          <w:sz w:val="24"/>
          <w:szCs w:val="24"/>
        </w:rPr>
        <w:t>The Dollar Trap: How the U.S. Dollar Tightened Its Grip on Global Finance</w:t>
      </w:r>
      <w:r w:rsidRPr="00890316">
        <w:rPr>
          <w:rFonts w:ascii="Times New Roman" w:hAnsi="Times New Roman" w:cs="Times New Roman"/>
          <w:sz w:val="24"/>
          <w:szCs w:val="24"/>
        </w:rPr>
        <w:t>. London: Penguin Books. https://www.amazon.com/Dollar-Trap-Tightened-Global-Finance/dp/0691168520.</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Roach, Stephen. 2014. </w:t>
      </w:r>
      <w:r>
        <w:rPr>
          <w:rFonts w:ascii="Times New Roman" w:hAnsi="Times New Roman" w:cs="Times New Roman"/>
          <w:i/>
          <w:iCs/>
          <w:sz w:val="24"/>
          <w:szCs w:val="24"/>
        </w:rPr>
        <w:t>Unbalanced: The Codependency of America and China</w:t>
      </w:r>
      <w:r>
        <w:rPr>
          <w:rFonts w:ascii="Times New Roman" w:hAnsi="Times New Roman" w:cs="Times New Roman"/>
          <w:sz w:val="24"/>
          <w:szCs w:val="24"/>
        </w:rPr>
        <w:t>. Yale University Press.</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Ross, Wilbur, and Peter Navarro. 2016. “Scoring the Trump Economic Plan: Trade, Regulatory, &amp; Energy Policy Impacts.” https://assets.donaldjtrump.com/Trump_Economic_Plan.pdf.</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Silber, William L. 2012. </w:t>
      </w:r>
      <w:r w:rsidRPr="00890316">
        <w:rPr>
          <w:rFonts w:ascii="Times New Roman" w:hAnsi="Times New Roman" w:cs="Times New Roman"/>
          <w:i/>
          <w:iCs/>
          <w:sz w:val="24"/>
          <w:szCs w:val="24"/>
        </w:rPr>
        <w:t>Volcker: The Triumph of Persistence</w:t>
      </w:r>
      <w:r w:rsidRPr="00890316">
        <w:rPr>
          <w:rFonts w:ascii="Times New Roman" w:hAnsi="Times New Roman" w:cs="Times New Roman"/>
          <w:sz w:val="24"/>
          <w:szCs w:val="24"/>
        </w:rPr>
        <w:t>. Bloomsbury Publishing USA.</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Stein, Judith. 2010. </w:t>
      </w:r>
      <w:r w:rsidRPr="00890316">
        <w:rPr>
          <w:rFonts w:ascii="Times New Roman" w:hAnsi="Times New Roman" w:cs="Times New Roman"/>
          <w:i/>
          <w:iCs/>
          <w:sz w:val="24"/>
          <w:szCs w:val="24"/>
        </w:rPr>
        <w:t>Pivotal Decade: How the United States Traded Factories for Finance in the Seventies</w:t>
      </w:r>
      <w:r w:rsidRPr="00890316">
        <w:rPr>
          <w:rFonts w:ascii="Times New Roman" w:hAnsi="Times New Roman" w:cs="Times New Roman"/>
          <w:sz w:val="24"/>
          <w:szCs w:val="24"/>
        </w:rPr>
        <w:t>. Yale University Press.</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Triffin, Robert. 1978. </w:t>
      </w:r>
      <w:r w:rsidRPr="00890316">
        <w:rPr>
          <w:rFonts w:ascii="Times New Roman" w:hAnsi="Times New Roman" w:cs="Times New Roman"/>
          <w:i/>
          <w:iCs/>
          <w:sz w:val="24"/>
          <w:szCs w:val="24"/>
        </w:rPr>
        <w:t>Gold and the Dollar Crisis: Yesterday and Tomorrow</w:t>
      </w:r>
      <w:r w:rsidRPr="00890316">
        <w:rPr>
          <w:rFonts w:ascii="Times New Roman" w:hAnsi="Times New Roman" w:cs="Times New Roman"/>
          <w:sz w:val="24"/>
          <w:szCs w:val="24"/>
        </w:rPr>
        <w:t>. International Finance Section, Dept. of Economics, Princeton University.</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Trump, Donald. 2017. “Omnibus Report on Significant Trade Deficits.” Federal Register. April 5, 2017. https://www.federalregister.gov/documents/2017/04/05/2017-06968/omnibus-report-on-significant-trade-deficits.</w:t>
      </w:r>
    </w:p>
    <w:p w:rsidR="006962DB" w:rsidRDefault="006962DB" w:rsidP="006962DB">
      <w:pPr>
        <w:widowControl w:val="0"/>
        <w:autoSpaceDE w:val="0"/>
        <w:autoSpaceDN w:val="0"/>
        <w:adjustRightInd w:val="0"/>
        <w:spacing w:after="0" w:line="240" w:lineRule="auto"/>
        <w:ind w:left="720" w:hanging="720"/>
        <w:rPr>
          <w:rFonts w:ascii="Times New Roman" w:hAnsi="Times New Roman" w:cs="Times New Roman"/>
          <w:sz w:val="24"/>
          <w:szCs w:val="24"/>
        </w:rPr>
      </w:pPr>
      <w:r w:rsidRPr="00854A92">
        <w:rPr>
          <w:rFonts w:ascii="Times New Roman" w:hAnsi="Times New Roman" w:cs="Times New Roman"/>
          <w:sz w:val="24"/>
          <w:szCs w:val="24"/>
        </w:rPr>
        <w:t>UNCTAD (United Nations Conference on Trade and Development) (2013) World Investment Report 2013: Global Value Chains: Investment and Trade for Development. United Nations Publication, Geneva.</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890316">
        <w:rPr>
          <w:rFonts w:ascii="Times New Roman" w:hAnsi="Times New Roman" w:cs="Times New Roman"/>
          <w:sz w:val="24"/>
          <w:szCs w:val="24"/>
        </w:rPr>
        <w:t xml:space="preserve">Uno, </w:t>
      </w:r>
      <w:proofErr w:type="spellStart"/>
      <w:r w:rsidRPr="00890316">
        <w:rPr>
          <w:rFonts w:ascii="Times New Roman" w:hAnsi="Times New Roman" w:cs="Times New Roman"/>
          <w:sz w:val="24"/>
          <w:szCs w:val="24"/>
        </w:rPr>
        <w:t>Kōzō</w:t>
      </w:r>
      <w:proofErr w:type="spellEnd"/>
      <w:r w:rsidRPr="00890316">
        <w:rPr>
          <w:rFonts w:ascii="Times New Roman" w:hAnsi="Times New Roman" w:cs="Times New Roman"/>
          <w:sz w:val="24"/>
          <w:szCs w:val="24"/>
        </w:rPr>
        <w:t xml:space="preserve">. 1980. </w:t>
      </w:r>
      <w:r w:rsidRPr="00890316">
        <w:rPr>
          <w:rFonts w:ascii="Times New Roman" w:hAnsi="Times New Roman" w:cs="Times New Roman"/>
          <w:i/>
          <w:iCs/>
          <w:sz w:val="24"/>
          <w:szCs w:val="24"/>
        </w:rPr>
        <w:t>Principles of Political Economy: Theory of a Purely Capitalist Society</w:t>
      </w:r>
      <w:r w:rsidRPr="00890316">
        <w:rPr>
          <w:rFonts w:ascii="Times New Roman" w:hAnsi="Times New Roman" w:cs="Times New Roman"/>
          <w:sz w:val="24"/>
          <w:szCs w:val="24"/>
        </w:rPr>
        <w:t>. Harvester Press.</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A41C8C">
        <w:rPr>
          <w:rFonts w:ascii="Times New Roman" w:hAnsi="Times New Roman" w:cs="Times New Roman"/>
          <w:sz w:val="24"/>
          <w:szCs w:val="24"/>
        </w:rPr>
        <w:t xml:space="preserve">Vasudevan, </w:t>
      </w:r>
      <w:proofErr w:type="spellStart"/>
      <w:r w:rsidRPr="00A41C8C">
        <w:rPr>
          <w:rFonts w:ascii="Times New Roman" w:hAnsi="Times New Roman" w:cs="Times New Roman"/>
          <w:sz w:val="24"/>
          <w:szCs w:val="24"/>
        </w:rPr>
        <w:t>Ramaa</w:t>
      </w:r>
      <w:proofErr w:type="spellEnd"/>
      <w:r w:rsidRPr="00A41C8C">
        <w:rPr>
          <w:rFonts w:ascii="Times New Roman" w:hAnsi="Times New Roman" w:cs="Times New Roman"/>
          <w:sz w:val="24"/>
          <w:szCs w:val="24"/>
        </w:rPr>
        <w:t xml:space="preserve">. 2009a. “From the Gold Standard to the Floating Dollar Standard: An Appraisal in the Light of Marx’s Theory of Money.” </w:t>
      </w:r>
      <w:r w:rsidRPr="00A41C8C">
        <w:rPr>
          <w:rFonts w:ascii="Times New Roman" w:hAnsi="Times New Roman" w:cs="Times New Roman"/>
          <w:i/>
          <w:iCs/>
          <w:sz w:val="24"/>
          <w:szCs w:val="24"/>
        </w:rPr>
        <w:t>Review of Radical Political Economics</w:t>
      </w:r>
      <w:r w:rsidRPr="00A41C8C">
        <w:rPr>
          <w:rFonts w:ascii="Times New Roman" w:hAnsi="Times New Roman" w:cs="Times New Roman"/>
          <w:sz w:val="24"/>
          <w:szCs w:val="24"/>
        </w:rPr>
        <w:t xml:space="preserve"> 41(4): 473–91.</w:t>
      </w:r>
    </w:p>
    <w:p w:rsidR="006962DB"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r w:rsidRPr="00A41C8C">
        <w:rPr>
          <w:rFonts w:ascii="Times New Roman" w:hAnsi="Times New Roman" w:cs="Times New Roman"/>
          <w:sz w:val="24"/>
          <w:szCs w:val="24"/>
        </w:rPr>
        <w:t xml:space="preserve">———. 2009b. “Reforming the International Financial System: Core and Periphery Issues and the Dollar Standard.” </w:t>
      </w:r>
      <w:r w:rsidRPr="00A41C8C">
        <w:rPr>
          <w:rFonts w:ascii="Times New Roman" w:hAnsi="Times New Roman" w:cs="Times New Roman"/>
          <w:i/>
          <w:iCs/>
          <w:sz w:val="24"/>
          <w:szCs w:val="24"/>
        </w:rPr>
        <w:t xml:space="preserve">EKONOMIAZ. </w:t>
      </w:r>
      <w:proofErr w:type="spellStart"/>
      <w:r w:rsidRPr="00A41C8C">
        <w:rPr>
          <w:rFonts w:ascii="Times New Roman" w:hAnsi="Times New Roman" w:cs="Times New Roman"/>
          <w:i/>
          <w:iCs/>
          <w:sz w:val="24"/>
          <w:szCs w:val="24"/>
        </w:rPr>
        <w:t>Revista</w:t>
      </w:r>
      <w:proofErr w:type="spellEnd"/>
      <w:r w:rsidRPr="00A41C8C">
        <w:rPr>
          <w:rFonts w:ascii="Times New Roman" w:hAnsi="Times New Roman" w:cs="Times New Roman"/>
          <w:i/>
          <w:iCs/>
          <w:sz w:val="24"/>
          <w:szCs w:val="24"/>
        </w:rPr>
        <w:t xml:space="preserve"> </w:t>
      </w:r>
      <w:proofErr w:type="spellStart"/>
      <w:r w:rsidRPr="00A41C8C">
        <w:rPr>
          <w:rFonts w:ascii="Times New Roman" w:hAnsi="Times New Roman" w:cs="Times New Roman"/>
          <w:i/>
          <w:iCs/>
          <w:sz w:val="24"/>
          <w:szCs w:val="24"/>
        </w:rPr>
        <w:t>vasca</w:t>
      </w:r>
      <w:proofErr w:type="spellEnd"/>
      <w:r w:rsidRPr="00A41C8C">
        <w:rPr>
          <w:rFonts w:ascii="Times New Roman" w:hAnsi="Times New Roman" w:cs="Times New Roman"/>
          <w:i/>
          <w:iCs/>
          <w:sz w:val="24"/>
          <w:szCs w:val="24"/>
        </w:rPr>
        <w:t xml:space="preserve"> de </w:t>
      </w:r>
      <w:proofErr w:type="spellStart"/>
      <w:r w:rsidRPr="00A41C8C">
        <w:rPr>
          <w:rFonts w:ascii="Times New Roman" w:hAnsi="Times New Roman" w:cs="Times New Roman"/>
          <w:i/>
          <w:iCs/>
          <w:sz w:val="24"/>
          <w:szCs w:val="24"/>
        </w:rPr>
        <w:t>Economía</w:t>
      </w:r>
      <w:proofErr w:type="spellEnd"/>
      <w:r w:rsidRPr="00A41C8C">
        <w:rPr>
          <w:rFonts w:ascii="Times New Roman" w:hAnsi="Times New Roman" w:cs="Times New Roman"/>
          <w:sz w:val="24"/>
          <w:szCs w:val="24"/>
        </w:rPr>
        <w:t xml:space="preserve"> 72(03): 162–79.</w:t>
      </w:r>
    </w:p>
    <w:p w:rsidR="006962DB" w:rsidRDefault="006962DB" w:rsidP="006962DB">
      <w:pPr>
        <w:widowControl w:val="0"/>
        <w:autoSpaceDE w:val="0"/>
        <w:autoSpaceDN w:val="0"/>
        <w:adjustRightInd w:val="0"/>
        <w:spacing w:after="0" w:line="240" w:lineRule="auto"/>
        <w:ind w:left="720" w:hanging="720"/>
        <w:contextualSpacing/>
      </w:pPr>
      <w:r w:rsidRPr="00890316">
        <w:rPr>
          <w:rFonts w:ascii="Times New Roman" w:hAnsi="Times New Roman" w:cs="Times New Roman"/>
          <w:sz w:val="24"/>
          <w:szCs w:val="24"/>
        </w:rPr>
        <w:t>Volcker Group. 1969. “Memorandum for the President.” The Secretary for the Treasury. https://fraser.stlouisfed.org/files/docs/historical/nixon/kenmem690623.pdf.</w:t>
      </w:r>
    </w:p>
    <w:p w:rsidR="006962DB" w:rsidRPr="00890316"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890316">
        <w:rPr>
          <w:rFonts w:ascii="Times New Roman" w:hAnsi="Times New Roman" w:cs="Times New Roman"/>
          <w:sz w:val="24"/>
          <w:szCs w:val="24"/>
        </w:rPr>
        <w:t>Zelizer</w:t>
      </w:r>
      <w:proofErr w:type="spellEnd"/>
      <w:r w:rsidRPr="00890316">
        <w:rPr>
          <w:rFonts w:ascii="Times New Roman" w:hAnsi="Times New Roman" w:cs="Times New Roman"/>
          <w:sz w:val="24"/>
          <w:szCs w:val="24"/>
        </w:rPr>
        <w:t xml:space="preserve">, Viviana A. </w:t>
      </w:r>
      <w:proofErr w:type="spellStart"/>
      <w:r w:rsidRPr="00890316">
        <w:rPr>
          <w:rFonts w:ascii="Times New Roman" w:hAnsi="Times New Roman" w:cs="Times New Roman"/>
          <w:sz w:val="24"/>
          <w:szCs w:val="24"/>
        </w:rPr>
        <w:t>Rotman</w:t>
      </w:r>
      <w:proofErr w:type="spellEnd"/>
      <w:r w:rsidRPr="00890316">
        <w:rPr>
          <w:rFonts w:ascii="Times New Roman" w:hAnsi="Times New Roman" w:cs="Times New Roman"/>
          <w:sz w:val="24"/>
          <w:szCs w:val="24"/>
        </w:rPr>
        <w:t xml:space="preserve">. 1997. </w:t>
      </w:r>
      <w:r w:rsidRPr="00890316">
        <w:rPr>
          <w:rFonts w:ascii="Times New Roman" w:hAnsi="Times New Roman" w:cs="Times New Roman"/>
          <w:i/>
          <w:iCs/>
          <w:sz w:val="24"/>
          <w:szCs w:val="24"/>
        </w:rPr>
        <w:t>The Social Meaning of Money</w:t>
      </w:r>
      <w:r w:rsidRPr="00890316">
        <w:rPr>
          <w:rFonts w:ascii="Times New Roman" w:hAnsi="Times New Roman" w:cs="Times New Roman"/>
          <w:sz w:val="24"/>
          <w:szCs w:val="24"/>
        </w:rPr>
        <w:t>. Princeton University Press.</w:t>
      </w:r>
    </w:p>
    <w:p w:rsidR="006962DB" w:rsidRPr="00A41C8C" w:rsidRDefault="006962DB" w:rsidP="006962DB">
      <w:pPr>
        <w:widowControl w:val="0"/>
        <w:autoSpaceDE w:val="0"/>
        <w:autoSpaceDN w:val="0"/>
        <w:adjustRightInd w:val="0"/>
        <w:spacing w:after="0" w:line="240" w:lineRule="auto"/>
        <w:ind w:left="720" w:hanging="720"/>
        <w:contextualSpacing/>
        <w:rPr>
          <w:rFonts w:ascii="Times New Roman" w:hAnsi="Times New Roman" w:cs="Times New Roman"/>
          <w:sz w:val="24"/>
          <w:szCs w:val="24"/>
        </w:rPr>
      </w:pPr>
      <w:proofErr w:type="spellStart"/>
      <w:r w:rsidRPr="00A41C8C">
        <w:rPr>
          <w:rFonts w:ascii="Times New Roman" w:hAnsi="Times New Roman" w:cs="Times New Roman"/>
          <w:sz w:val="24"/>
          <w:szCs w:val="24"/>
        </w:rPr>
        <w:t>Zelizer</w:t>
      </w:r>
      <w:proofErr w:type="spellEnd"/>
      <w:r w:rsidRPr="00A41C8C">
        <w:rPr>
          <w:rFonts w:ascii="Times New Roman" w:hAnsi="Times New Roman" w:cs="Times New Roman"/>
          <w:sz w:val="24"/>
          <w:szCs w:val="24"/>
        </w:rPr>
        <w:t xml:space="preserve">, Viviana. 2000. “Fine Tuning the </w:t>
      </w:r>
      <w:proofErr w:type="spellStart"/>
      <w:r w:rsidRPr="00A41C8C">
        <w:rPr>
          <w:rFonts w:ascii="Times New Roman" w:hAnsi="Times New Roman" w:cs="Times New Roman"/>
          <w:sz w:val="24"/>
          <w:szCs w:val="24"/>
        </w:rPr>
        <w:t>Zelizer</w:t>
      </w:r>
      <w:proofErr w:type="spellEnd"/>
      <w:r w:rsidRPr="00A41C8C">
        <w:rPr>
          <w:rFonts w:ascii="Times New Roman" w:hAnsi="Times New Roman" w:cs="Times New Roman"/>
          <w:sz w:val="24"/>
          <w:szCs w:val="24"/>
        </w:rPr>
        <w:t xml:space="preserve"> View.” </w:t>
      </w:r>
      <w:r w:rsidRPr="00A41C8C">
        <w:rPr>
          <w:rFonts w:ascii="Times New Roman" w:hAnsi="Times New Roman" w:cs="Times New Roman"/>
          <w:i/>
          <w:iCs/>
          <w:sz w:val="24"/>
          <w:szCs w:val="24"/>
        </w:rPr>
        <w:t>Economy and Society</w:t>
      </w:r>
      <w:r w:rsidRPr="00A41C8C">
        <w:rPr>
          <w:rFonts w:ascii="Times New Roman" w:hAnsi="Times New Roman" w:cs="Times New Roman"/>
          <w:sz w:val="24"/>
          <w:szCs w:val="24"/>
        </w:rPr>
        <w:t xml:space="preserve"> 29(3): 383–89.</w:t>
      </w:r>
    </w:p>
    <w:p w:rsidR="00D75403" w:rsidRDefault="00D7540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75403" w:rsidRDefault="00D75403" w:rsidP="00D75403">
      <w:pPr>
        <w:spacing w:line="240" w:lineRule="auto"/>
        <w:ind w:firstLine="720"/>
        <w:contextualSpacing/>
        <w:rPr>
          <w:rFonts w:ascii="Times New Roman" w:hAnsi="Times New Roman" w:cs="Times New Roman"/>
          <w:sz w:val="24"/>
          <w:szCs w:val="24"/>
        </w:rPr>
      </w:pPr>
    </w:p>
    <w:p w:rsidR="00D75403" w:rsidRDefault="00D75403" w:rsidP="00D75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Appendix One: Figure One Dollar Share of Currency Reserves</w:t>
      </w:r>
    </w:p>
    <w:p w:rsidR="00D75403" w:rsidRPr="00C76832" w:rsidRDefault="00D75403" w:rsidP="00D75403">
      <w:pPr>
        <w:rPr>
          <w:rFonts w:ascii="Times New Roman" w:hAnsi="Times New Roman" w:cs="Times New Roman"/>
          <w:sz w:val="24"/>
          <w:szCs w:val="24"/>
        </w:rPr>
      </w:pPr>
      <w:r w:rsidRPr="00C76832">
        <w:rPr>
          <w:rFonts w:ascii="Times New Roman" w:hAnsi="Times New Roman" w:cs="Times New Roman"/>
          <w:noProof/>
          <w:sz w:val="24"/>
          <w:szCs w:val="24"/>
        </w:rPr>
        <w:drawing>
          <wp:inline distT="0" distB="0" distL="0" distR="0" wp14:anchorId="2E2C394B" wp14:editId="719EB45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5403" w:rsidRDefault="00D75403" w:rsidP="00D75403">
      <w:pPr>
        <w:spacing w:line="240" w:lineRule="auto"/>
        <w:contextualSpacing/>
        <w:rPr>
          <w:rFonts w:ascii="Times New Roman" w:hAnsi="Times New Roman" w:cs="Times New Roman"/>
          <w:sz w:val="24"/>
          <w:szCs w:val="24"/>
        </w:rPr>
      </w:pPr>
    </w:p>
    <w:p w:rsidR="00D75403" w:rsidRDefault="00D75403">
      <w:pPr>
        <w:rPr>
          <w:rFonts w:ascii="Times New Roman" w:hAnsi="Times New Roman" w:cs="Times New Roman"/>
          <w:sz w:val="24"/>
          <w:szCs w:val="24"/>
        </w:rPr>
      </w:pPr>
      <w:r>
        <w:rPr>
          <w:rFonts w:ascii="Times New Roman" w:hAnsi="Times New Roman" w:cs="Times New Roman"/>
          <w:sz w:val="24"/>
          <w:szCs w:val="24"/>
        </w:rPr>
        <w:br w:type="page"/>
      </w:r>
    </w:p>
    <w:p w:rsidR="00D75403" w:rsidRDefault="00D75403" w:rsidP="00D75403">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Appendix Two: Figure Two US Current Account Balance and Foreign Holdings of Treasury Securities</w:t>
      </w:r>
    </w:p>
    <w:p w:rsidR="00D75403" w:rsidRPr="00C76832" w:rsidRDefault="00D75403" w:rsidP="00D75403">
      <w:pPr>
        <w:rPr>
          <w:rFonts w:ascii="Times New Roman" w:hAnsi="Times New Roman" w:cs="Times New Roman"/>
          <w:sz w:val="24"/>
          <w:szCs w:val="24"/>
          <w:lang w:val="es-MX"/>
        </w:rPr>
      </w:pPr>
      <w:r w:rsidRPr="00C76832">
        <w:rPr>
          <w:rFonts w:ascii="Times New Roman" w:hAnsi="Times New Roman" w:cs="Times New Roman"/>
          <w:noProof/>
          <w:sz w:val="24"/>
          <w:szCs w:val="24"/>
        </w:rPr>
        <w:drawing>
          <wp:inline distT="0" distB="0" distL="0" distR="0" wp14:anchorId="6D79FDC9" wp14:editId="7C0A0226">
            <wp:extent cx="4572000" cy="33623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5403" w:rsidRDefault="00D75403">
      <w:pPr>
        <w:rPr>
          <w:rFonts w:ascii="Times New Roman" w:hAnsi="Times New Roman" w:cs="Times New Roman"/>
          <w:sz w:val="24"/>
          <w:szCs w:val="24"/>
        </w:rPr>
      </w:pPr>
      <w:r>
        <w:rPr>
          <w:rFonts w:ascii="Times New Roman" w:hAnsi="Times New Roman" w:cs="Times New Roman"/>
          <w:sz w:val="24"/>
          <w:szCs w:val="24"/>
        </w:rPr>
        <w:br w:type="page"/>
      </w:r>
    </w:p>
    <w:p w:rsidR="00D75403" w:rsidRDefault="00D75403" w:rsidP="00D75403">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Appendix Three: Figure Three US Current Account Balance with China and China’s Holdings of Treasury Securities</w:t>
      </w:r>
    </w:p>
    <w:p w:rsidR="00D75403" w:rsidRDefault="00D75403" w:rsidP="00D75403">
      <w:pPr>
        <w:rPr>
          <w:rFonts w:ascii="Times New Roman" w:hAnsi="Times New Roman" w:cs="Times New Roman"/>
          <w:sz w:val="24"/>
          <w:szCs w:val="24"/>
          <w:lang w:val="es-MX"/>
        </w:rPr>
      </w:pPr>
      <w:r>
        <w:rPr>
          <w:noProof/>
        </w:rPr>
        <w:drawing>
          <wp:inline distT="0" distB="0" distL="0" distR="0" wp14:anchorId="1FDDF4B9" wp14:editId="2102182E">
            <wp:extent cx="4572000" cy="2628900"/>
            <wp:effectExtent l="0" t="0" r="0" b="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5403" w:rsidRDefault="00D75403" w:rsidP="00D75403">
      <w:pPr>
        <w:rPr>
          <w:rFonts w:ascii="Times New Roman" w:hAnsi="Times New Roman" w:cs="Times New Roman"/>
          <w:sz w:val="24"/>
          <w:szCs w:val="24"/>
          <w:lang w:val="es-MX"/>
        </w:rPr>
      </w:pPr>
      <w:r>
        <w:rPr>
          <w:noProof/>
        </w:rPr>
        <w:drawing>
          <wp:inline distT="0" distB="0" distL="0" distR="0" wp14:anchorId="68664E50" wp14:editId="37D73658">
            <wp:extent cx="4572000" cy="2634615"/>
            <wp:effectExtent l="0" t="0" r="0" b="13335"/>
            <wp:docPr id="12" name="Chart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5403" w:rsidRDefault="00D75403" w:rsidP="00D75403">
      <w:pPr>
        <w:rPr>
          <w:rFonts w:ascii="Times New Roman" w:hAnsi="Times New Roman" w:cs="Times New Roman"/>
          <w:sz w:val="24"/>
          <w:szCs w:val="24"/>
          <w:lang w:val="es-MX"/>
        </w:rPr>
      </w:pPr>
      <w:r>
        <w:rPr>
          <w:noProof/>
        </w:rPr>
        <w:lastRenderedPageBreak/>
        <w:drawing>
          <wp:inline distT="0" distB="0" distL="0" distR="0" wp14:anchorId="564C9B4B" wp14:editId="53EE7778">
            <wp:extent cx="4572000" cy="2634615"/>
            <wp:effectExtent l="0" t="0" r="0" b="13335"/>
            <wp:docPr id="13" name="Chart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5403" w:rsidRDefault="00D75403" w:rsidP="00D75403">
      <w:pPr>
        <w:rPr>
          <w:rFonts w:ascii="Times New Roman" w:hAnsi="Times New Roman" w:cs="Times New Roman"/>
          <w:sz w:val="24"/>
          <w:szCs w:val="24"/>
          <w:lang w:val="es-MX"/>
        </w:rPr>
      </w:pPr>
      <w:r>
        <w:rPr>
          <w:noProof/>
        </w:rPr>
        <w:drawing>
          <wp:inline distT="0" distB="0" distL="0" distR="0" wp14:anchorId="7E6A0DA8" wp14:editId="459AE8C8">
            <wp:extent cx="4572000" cy="2634615"/>
            <wp:effectExtent l="0" t="0" r="0" b="13335"/>
            <wp:docPr id="14" name="Chart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5403" w:rsidRDefault="00D75403" w:rsidP="00D75403">
      <w:pPr>
        <w:rPr>
          <w:rFonts w:ascii="Times New Roman" w:hAnsi="Times New Roman" w:cs="Times New Roman"/>
          <w:sz w:val="24"/>
          <w:szCs w:val="24"/>
          <w:lang w:val="es-MX"/>
        </w:rPr>
      </w:pPr>
      <w:r>
        <w:rPr>
          <w:noProof/>
        </w:rPr>
        <w:drawing>
          <wp:inline distT="0" distB="0" distL="0" distR="0" wp14:anchorId="62E11925" wp14:editId="708E8E22">
            <wp:extent cx="4572000" cy="2634615"/>
            <wp:effectExtent l="0" t="0" r="0" b="13335"/>
            <wp:docPr id="15" name="Chart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5403" w:rsidRDefault="00D75403" w:rsidP="00D75403">
      <w:pPr>
        <w:rPr>
          <w:rFonts w:ascii="Times New Roman" w:hAnsi="Times New Roman" w:cs="Times New Roman"/>
          <w:sz w:val="24"/>
          <w:szCs w:val="24"/>
          <w:lang w:val="es-MX"/>
        </w:rPr>
      </w:pPr>
      <w:r>
        <w:rPr>
          <w:noProof/>
        </w:rPr>
        <w:lastRenderedPageBreak/>
        <w:drawing>
          <wp:inline distT="0" distB="0" distL="0" distR="0" wp14:anchorId="27EFAB8F" wp14:editId="30955482">
            <wp:extent cx="4572000" cy="2634615"/>
            <wp:effectExtent l="0" t="0" r="0" b="13335"/>
            <wp:docPr id="16" name="Chart 1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77B49" w:rsidRPr="00890316" w:rsidRDefault="00F77B49" w:rsidP="002677C2">
      <w:pPr>
        <w:spacing w:line="240" w:lineRule="auto"/>
        <w:contextualSpacing/>
        <w:rPr>
          <w:rFonts w:ascii="Times New Roman" w:hAnsi="Times New Roman" w:cs="Times New Roman"/>
          <w:sz w:val="24"/>
          <w:szCs w:val="24"/>
          <w:shd w:val="clear" w:color="auto" w:fill="FFFFFF"/>
        </w:rPr>
      </w:pPr>
    </w:p>
    <w:sectPr w:rsidR="00F77B49" w:rsidRPr="00890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FB3" w:rsidRDefault="00CF2FB3" w:rsidP="005014E6">
      <w:pPr>
        <w:spacing w:after="0" w:line="240" w:lineRule="auto"/>
      </w:pPr>
      <w:r>
        <w:separator/>
      </w:r>
    </w:p>
  </w:endnote>
  <w:endnote w:type="continuationSeparator" w:id="0">
    <w:p w:rsidR="00CF2FB3" w:rsidRDefault="00CF2FB3" w:rsidP="0050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FB3" w:rsidRDefault="00CF2FB3" w:rsidP="005014E6">
      <w:pPr>
        <w:spacing w:after="0" w:line="240" w:lineRule="auto"/>
      </w:pPr>
      <w:r>
        <w:separator/>
      </w:r>
    </w:p>
  </w:footnote>
  <w:footnote w:type="continuationSeparator" w:id="0">
    <w:p w:rsidR="00CF2FB3" w:rsidRDefault="00CF2FB3" w:rsidP="00501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2F"/>
    <w:rsid w:val="000014D7"/>
    <w:rsid w:val="00005ABA"/>
    <w:rsid w:val="00097C58"/>
    <w:rsid w:val="00097EF4"/>
    <w:rsid w:val="000B2036"/>
    <w:rsid w:val="000C3581"/>
    <w:rsid w:val="000D7538"/>
    <w:rsid w:val="000E1B65"/>
    <w:rsid w:val="000E44DA"/>
    <w:rsid w:val="000F3A2E"/>
    <w:rsid w:val="001029A7"/>
    <w:rsid w:val="00110602"/>
    <w:rsid w:val="00120E00"/>
    <w:rsid w:val="00122F6A"/>
    <w:rsid w:val="00131256"/>
    <w:rsid w:val="00140F82"/>
    <w:rsid w:val="00163E8F"/>
    <w:rsid w:val="00166547"/>
    <w:rsid w:val="001761C3"/>
    <w:rsid w:val="00186DE4"/>
    <w:rsid w:val="00191BC5"/>
    <w:rsid w:val="001B64F6"/>
    <w:rsid w:val="001E4EDA"/>
    <w:rsid w:val="001E59BA"/>
    <w:rsid w:val="001F737F"/>
    <w:rsid w:val="001F7447"/>
    <w:rsid w:val="00221D2B"/>
    <w:rsid w:val="00255240"/>
    <w:rsid w:val="00264DED"/>
    <w:rsid w:val="002677C2"/>
    <w:rsid w:val="002B0565"/>
    <w:rsid w:val="002C62DC"/>
    <w:rsid w:val="00305A17"/>
    <w:rsid w:val="00345D11"/>
    <w:rsid w:val="00355CBD"/>
    <w:rsid w:val="003719E2"/>
    <w:rsid w:val="003767A3"/>
    <w:rsid w:val="003A0235"/>
    <w:rsid w:val="003B13C2"/>
    <w:rsid w:val="003C09D8"/>
    <w:rsid w:val="003E5805"/>
    <w:rsid w:val="0043212D"/>
    <w:rsid w:val="0043295F"/>
    <w:rsid w:val="004556D7"/>
    <w:rsid w:val="004908BE"/>
    <w:rsid w:val="004B51A4"/>
    <w:rsid w:val="004C422F"/>
    <w:rsid w:val="005014E6"/>
    <w:rsid w:val="00502AFF"/>
    <w:rsid w:val="00540CE8"/>
    <w:rsid w:val="00545C60"/>
    <w:rsid w:val="0056032E"/>
    <w:rsid w:val="00567CD0"/>
    <w:rsid w:val="00583FB3"/>
    <w:rsid w:val="00593150"/>
    <w:rsid w:val="0059492E"/>
    <w:rsid w:val="005C0802"/>
    <w:rsid w:val="005D0A3F"/>
    <w:rsid w:val="005D17C5"/>
    <w:rsid w:val="00610DB0"/>
    <w:rsid w:val="006202A4"/>
    <w:rsid w:val="00631317"/>
    <w:rsid w:val="006531B4"/>
    <w:rsid w:val="00664D5F"/>
    <w:rsid w:val="00684B05"/>
    <w:rsid w:val="00694239"/>
    <w:rsid w:val="006962DB"/>
    <w:rsid w:val="00697FBA"/>
    <w:rsid w:val="006B1872"/>
    <w:rsid w:val="006B278A"/>
    <w:rsid w:val="006C6453"/>
    <w:rsid w:val="006D3EC1"/>
    <w:rsid w:val="006E7EEF"/>
    <w:rsid w:val="00701584"/>
    <w:rsid w:val="00702BD4"/>
    <w:rsid w:val="007235A6"/>
    <w:rsid w:val="00730B38"/>
    <w:rsid w:val="00792ED2"/>
    <w:rsid w:val="007966F7"/>
    <w:rsid w:val="007F725F"/>
    <w:rsid w:val="00802611"/>
    <w:rsid w:val="008553FF"/>
    <w:rsid w:val="008814E5"/>
    <w:rsid w:val="00894E32"/>
    <w:rsid w:val="008C0D4E"/>
    <w:rsid w:val="008C189B"/>
    <w:rsid w:val="008D3BCA"/>
    <w:rsid w:val="008E7B85"/>
    <w:rsid w:val="00923CD7"/>
    <w:rsid w:val="00930E04"/>
    <w:rsid w:val="0094036A"/>
    <w:rsid w:val="00947A07"/>
    <w:rsid w:val="009550DA"/>
    <w:rsid w:val="00964D9B"/>
    <w:rsid w:val="00983E10"/>
    <w:rsid w:val="009A688E"/>
    <w:rsid w:val="009B64C3"/>
    <w:rsid w:val="009E2BA7"/>
    <w:rsid w:val="009E5EA4"/>
    <w:rsid w:val="009F650E"/>
    <w:rsid w:val="00A019FE"/>
    <w:rsid w:val="00A07F21"/>
    <w:rsid w:val="00A2257B"/>
    <w:rsid w:val="00A37340"/>
    <w:rsid w:val="00A517A3"/>
    <w:rsid w:val="00A66628"/>
    <w:rsid w:val="00A762C5"/>
    <w:rsid w:val="00A94080"/>
    <w:rsid w:val="00AD43E8"/>
    <w:rsid w:val="00AD69F6"/>
    <w:rsid w:val="00AE6E51"/>
    <w:rsid w:val="00B01C08"/>
    <w:rsid w:val="00B06DC1"/>
    <w:rsid w:val="00B10544"/>
    <w:rsid w:val="00B1069D"/>
    <w:rsid w:val="00B23B48"/>
    <w:rsid w:val="00B3574E"/>
    <w:rsid w:val="00B81605"/>
    <w:rsid w:val="00B83C3D"/>
    <w:rsid w:val="00B84497"/>
    <w:rsid w:val="00BC20E8"/>
    <w:rsid w:val="00BF44ED"/>
    <w:rsid w:val="00BF7F64"/>
    <w:rsid w:val="00C07CED"/>
    <w:rsid w:val="00C4785D"/>
    <w:rsid w:val="00CA006F"/>
    <w:rsid w:val="00CA2A51"/>
    <w:rsid w:val="00CA5D3D"/>
    <w:rsid w:val="00CB36F2"/>
    <w:rsid w:val="00CC16D1"/>
    <w:rsid w:val="00CD08B4"/>
    <w:rsid w:val="00CE55BE"/>
    <w:rsid w:val="00CF2FB3"/>
    <w:rsid w:val="00D00CBA"/>
    <w:rsid w:val="00D10D9F"/>
    <w:rsid w:val="00D16B72"/>
    <w:rsid w:val="00D34509"/>
    <w:rsid w:val="00D53C37"/>
    <w:rsid w:val="00D616EF"/>
    <w:rsid w:val="00D6170F"/>
    <w:rsid w:val="00D74FAB"/>
    <w:rsid w:val="00D75403"/>
    <w:rsid w:val="00D81A79"/>
    <w:rsid w:val="00D81CE5"/>
    <w:rsid w:val="00D92D28"/>
    <w:rsid w:val="00DA2DFA"/>
    <w:rsid w:val="00DB0E89"/>
    <w:rsid w:val="00DB3419"/>
    <w:rsid w:val="00DC4D69"/>
    <w:rsid w:val="00DD4505"/>
    <w:rsid w:val="00DE6C7B"/>
    <w:rsid w:val="00E06807"/>
    <w:rsid w:val="00E3555C"/>
    <w:rsid w:val="00E37834"/>
    <w:rsid w:val="00E45246"/>
    <w:rsid w:val="00E60487"/>
    <w:rsid w:val="00E77018"/>
    <w:rsid w:val="00E8526A"/>
    <w:rsid w:val="00E907A9"/>
    <w:rsid w:val="00E9422F"/>
    <w:rsid w:val="00E97853"/>
    <w:rsid w:val="00ED5C99"/>
    <w:rsid w:val="00EF6830"/>
    <w:rsid w:val="00F1668A"/>
    <w:rsid w:val="00F20507"/>
    <w:rsid w:val="00F3216D"/>
    <w:rsid w:val="00F40C46"/>
    <w:rsid w:val="00F77B49"/>
    <w:rsid w:val="00F8758D"/>
    <w:rsid w:val="00F91772"/>
    <w:rsid w:val="00FB53AD"/>
    <w:rsid w:val="00FD460B"/>
    <w:rsid w:val="00FF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675F"/>
  <w15:chartTrackingRefBased/>
  <w15:docId w15:val="{BB8CD2C7-1A9D-4FA7-A36F-90260900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C58"/>
    <w:pPr>
      <w:ind w:left="720"/>
      <w:contextualSpacing/>
    </w:pPr>
  </w:style>
  <w:style w:type="table" w:styleId="TableGrid">
    <w:name w:val="Table Grid"/>
    <w:basedOn w:val="TableNormal"/>
    <w:uiPriority w:val="39"/>
    <w:rsid w:val="00A51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E6"/>
  </w:style>
  <w:style w:type="paragraph" w:styleId="Footer">
    <w:name w:val="footer"/>
    <w:basedOn w:val="Normal"/>
    <w:link w:val="FooterChar"/>
    <w:uiPriority w:val="99"/>
    <w:unhideWhenUsed/>
    <w:rsid w:val="005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4E6"/>
  </w:style>
  <w:style w:type="paragraph" w:styleId="BalloonText">
    <w:name w:val="Balloon Text"/>
    <w:basedOn w:val="Normal"/>
    <w:link w:val="BalloonTextChar"/>
    <w:uiPriority w:val="99"/>
    <w:semiHidden/>
    <w:unhideWhenUsed/>
    <w:rsid w:val="00545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60"/>
    <w:rPr>
      <w:rFonts w:ascii="Segoe UI" w:hAnsi="Segoe UI" w:cs="Segoe UI"/>
      <w:sz w:val="18"/>
      <w:szCs w:val="18"/>
    </w:rPr>
  </w:style>
  <w:style w:type="character" w:styleId="Hyperlink">
    <w:name w:val="Hyperlink"/>
    <w:basedOn w:val="DefaultParagraphFont"/>
    <w:uiPriority w:val="99"/>
    <w:unhideWhenUsed/>
    <w:rsid w:val="00696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2782">
      <w:bodyDiv w:val="1"/>
      <w:marLeft w:val="0"/>
      <w:marRight w:val="0"/>
      <w:marTop w:val="0"/>
      <w:marBottom w:val="0"/>
      <w:divBdr>
        <w:top w:val="none" w:sz="0" w:space="0" w:color="auto"/>
        <w:left w:val="none" w:sz="0" w:space="0" w:color="auto"/>
        <w:bottom w:val="none" w:sz="0" w:space="0" w:color="auto"/>
        <w:right w:val="none" w:sz="0" w:space="0" w:color="auto"/>
      </w:divBdr>
    </w:div>
    <w:div w:id="719478243">
      <w:bodyDiv w:val="1"/>
      <w:marLeft w:val="0"/>
      <w:marRight w:val="0"/>
      <w:marTop w:val="0"/>
      <w:marBottom w:val="0"/>
      <w:divBdr>
        <w:top w:val="none" w:sz="0" w:space="0" w:color="auto"/>
        <w:left w:val="none" w:sz="0" w:space="0" w:color="auto"/>
        <w:bottom w:val="none" w:sz="0" w:space="0" w:color="auto"/>
        <w:right w:val="none" w:sz="0" w:space="0" w:color="auto"/>
      </w:divBdr>
    </w:div>
    <w:div w:id="1523664608">
      <w:bodyDiv w:val="1"/>
      <w:marLeft w:val="0"/>
      <w:marRight w:val="0"/>
      <w:marTop w:val="0"/>
      <w:marBottom w:val="0"/>
      <w:divBdr>
        <w:top w:val="none" w:sz="0" w:space="0" w:color="auto"/>
        <w:left w:val="none" w:sz="0" w:space="0" w:color="auto"/>
        <w:bottom w:val="none" w:sz="0" w:space="0" w:color="auto"/>
        <w:right w:val="none" w:sz="0" w:space="0" w:color="auto"/>
      </w:divBdr>
    </w:div>
    <w:div w:id="15690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imf.org/external/np/exr/center/mm/eng/mm_cc_01.htm" TargetMode="Externa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chart" Target="charts/chart1.xml"/><Relationship Id="rId12" Type="http://schemas.openxmlformats.org/officeDocument/2006/relationships/hyperlink" Target="https://papers.ssrn.com/abstract=1551873"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oney.cnn.com/2017/01/09/news/economy/us-mexico-trump-cars-imports-trade-deficit/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history.state.gov/historicaldocuments/frus1969-76v31/d123"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s://www.federalreserve.gov/boarddocs/speeches/2005/200503102/" TargetMode="External"/><Relationship Id="rId14" Type="http://schemas.openxmlformats.org/officeDocument/2006/relationships/hyperlink" Target="https://voxeu.org/article/arm-s-length-trade-source-post-crisis-trade-weakness" TargetMode="Externa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sse\Desktop\professional\soc%20money\trade%20balance.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esse\Desktop\professional\soc%20money\country%20treasury%20vs%20deficit.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esse\Desktop\professional\soc%20money\labor%20v%20infl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esse\Desktop\professional\soc%20money\trade%20and%20reserv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esse\Desktop\professional\soc%20money\trade%20and%20reserv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esse\Desktop\professional\soc%20money\country%20treasury%20vs%20defici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esse\Desktop\professional\soc%20money\country%20treasury%20vs%20defici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esse\Desktop\professional\soc%20money\country%20treasury%20vs%20defici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esse\Desktop\professional\soc%20money\country%20treasury%20vs%20defici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esse\Desktop\professional\soc%20money\country%20treasury%20vs%20defici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latin typeface="+mn-lt"/>
                <a:ea typeface="+mn-ea"/>
                <a:cs typeface="+mn-cs"/>
              </a:rPr>
              <a:t>US</a:t>
            </a:r>
            <a:r>
              <a:rPr lang="en-US"/>
              <a:t> Trade Balance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'[trade balance.xls]Sheet1'!$A$3</c:f>
              <c:strCache>
                <c:ptCount val="1"/>
                <c:pt idx="0">
                  <c:v>Trade Balance</c:v>
                </c:pt>
              </c:strCache>
            </c:strRef>
          </c:tx>
          <c:spPr>
            <a:ln w="28575" cap="rnd">
              <a:solidFill>
                <a:schemeClr val="accent1"/>
              </a:solidFill>
              <a:round/>
            </a:ln>
            <a:effectLst/>
          </c:spPr>
          <c:marker>
            <c:symbol val="none"/>
          </c:marker>
          <c:cat>
            <c:strRef>
              <c:f>'[trade balance.xls]Sheet1'!$B$2:$BG$2</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'[trade balance.xls]Sheet1'!$B$3:$BG$3</c:f>
              <c:numCache>
                <c:formatCode>#,##0</c:formatCode>
                <c:ptCount val="58"/>
                <c:pt idx="0">
                  <c:v>3508</c:v>
                </c:pt>
                <c:pt idx="1">
                  <c:v>4195</c:v>
                </c:pt>
                <c:pt idx="2">
                  <c:v>3370</c:v>
                </c:pt>
                <c:pt idx="3">
                  <c:v>4210</c:v>
                </c:pt>
                <c:pt idx="4">
                  <c:v>6022</c:v>
                </c:pt>
                <c:pt idx="5">
                  <c:v>4664</c:v>
                </c:pt>
                <c:pt idx="6">
                  <c:v>2939</c:v>
                </c:pt>
                <c:pt idx="7">
                  <c:v>2604</c:v>
                </c:pt>
                <c:pt idx="8" formatCode="General">
                  <c:v>250</c:v>
                </c:pt>
                <c:pt idx="9" formatCode="General">
                  <c:v>91</c:v>
                </c:pt>
                <c:pt idx="10">
                  <c:v>2254</c:v>
                </c:pt>
                <c:pt idx="11">
                  <c:v>-1302</c:v>
                </c:pt>
                <c:pt idx="12">
                  <c:v>-5443</c:v>
                </c:pt>
                <c:pt idx="13">
                  <c:v>1900</c:v>
                </c:pt>
                <c:pt idx="14">
                  <c:v>-4293</c:v>
                </c:pt>
                <c:pt idx="15">
                  <c:v>12404</c:v>
                </c:pt>
                <c:pt idx="16">
                  <c:v>-6082</c:v>
                </c:pt>
                <c:pt idx="17">
                  <c:v>-27246</c:v>
                </c:pt>
                <c:pt idx="18">
                  <c:v>-29763</c:v>
                </c:pt>
                <c:pt idx="19">
                  <c:v>-24565</c:v>
                </c:pt>
                <c:pt idx="20">
                  <c:v>-19407</c:v>
                </c:pt>
                <c:pt idx="21">
                  <c:v>-16172</c:v>
                </c:pt>
                <c:pt idx="22">
                  <c:v>-24156</c:v>
                </c:pt>
                <c:pt idx="23">
                  <c:v>-57767</c:v>
                </c:pt>
                <c:pt idx="24">
                  <c:v>-109072</c:v>
                </c:pt>
                <c:pt idx="25">
                  <c:v>-121880</c:v>
                </c:pt>
                <c:pt idx="26">
                  <c:v>-138538</c:v>
                </c:pt>
                <c:pt idx="27">
                  <c:v>-151684</c:v>
                </c:pt>
                <c:pt idx="28">
                  <c:v>-114566</c:v>
                </c:pt>
                <c:pt idx="29">
                  <c:v>-93141</c:v>
                </c:pt>
                <c:pt idx="30">
                  <c:v>-80864</c:v>
                </c:pt>
                <c:pt idx="31">
                  <c:v>-31135</c:v>
                </c:pt>
                <c:pt idx="32">
                  <c:v>-39212</c:v>
                </c:pt>
                <c:pt idx="33">
                  <c:v>-70311</c:v>
                </c:pt>
                <c:pt idx="34">
                  <c:v>-98493</c:v>
                </c:pt>
                <c:pt idx="35">
                  <c:v>-96384</c:v>
                </c:pt>
                <c:pt idx="36">
                  <c:v>-104065</c:v>
                </c:pt>
                <c:pt idx="37">
                  <c:v>-108273</c:v>
                </c:pt>
                <c:pt idx="38">
                  <c:v>-166140</c:v>
                </c:pt>
                <c:pt idx="39">
                  <c:v>-258617</c:v>
                </c:pt>
                <c:pt idx="40">
                  <c:v>-372517</c:v>
                </c:pt>
                <c:pt idx="41">
                  <c:v>-361511</c:v>
                </c:pt>
                <c:pt idx="42">
                  <c:v>-418955</c:v>
                </c:pt>
                <c:pt idx="43">
                  <c:v>-493890</c:v>
                </c:pt>
                <c:pt idx="44">
                  <c:v>-609883</c:v>
                </c:pt>
                <c:pt idx="45">
                  <c:v>-714245</c:v>
                </c:pt>
                <c:pt idx="46">
                  <c:v>-761716</c:v>
                </c:pt>
                <c:pt idx="47">
                  <c:v>-705375</c:v>
                </c:pt>
                <c:pt idx="48">
                  <c:v>-708726</c:v>
                </c:pt>
                <c:pt idx="49">
                  <c:v>-383774</c:v>
                </c:pt>
                <c:pt idx="50">
                  <c:v>-495225</c:v>
                </c:pt>
                <c:pt idx="51">
                  <c:v>-549699</c:v>
                </c:pt>
                <c:pt idx="52">
                  <c:v>-537408</c:v>
                </c:pt>
                <c:pt idx="53">
                  <c:v>-461135</c:v>
                </c:pt>
                <c:pt idx="54">
                  <c:v>-489584</c:v>
                </c:pt>
                <c:pt idx="55">
                  <c:v>-498525</c:v>
                </c:pt>
                <c:pt idx="56">
                  <c:v>-502001</c:v>
                </c:pt>
                <c:pt idx="57">
                  <c:v>-552277</c:v>
                </c:pt>
              </c:numCache>
            </c:numRef>
          </c:val>
          <c:smooth val="0"/>
          <c:extLst>
            <c:ext xmlns:c16="http://schemas.microsoft.com/office/drawing/2014/chart" uri="{C3380CC4-5D6E-409C-BE32-E72D297353CC}">
              <c16:uniqueId val="{00000000-2F73-4416-AA4C-A05ECE5A14EA}"/>
            </c:ext>
          </c:extLst>
        </c:ser>
        <c:dLbls>
          <c:showLegendKey val="0"/>
          <c:showVal val="0"/>
          <c:showCatName val="0"/>
          <c:showSerName val="0"/>
          <c:showPercent val="0"/>
          <c:showBubbleSize val="0"/>
        </c:dLbls>
        <c:smooth val="0"/>
        <c:axId val="314978392"/>
        <c:axId val="314976824"/>
      </c:lineChart>
      <c:catAx>
        <c:axId val="314978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Source: </a:t>
                </a:r>
                <a:r>
                  <a:rPr lang="en-US" sz="1000" b="0" i="0" u="none" strike="noStrike" kern="1200" baseline="0">
                    <a:solidFill>
                      <a:sysClr val="windowText" lastClr="000000">
                        <a:lumMod val="65000"/>
                        <a:lumOff val="35000"/>
                      </a:sysClr>
                    </a:solidFill>
                    <a:latin typeface="+mn-lt"/>
                    <a:ea typeface="+mn-ea"/>
                    <a:cs typeface="+mn-cs"/>
                  </a:rPr>
                  <a:t>US</a:t>
                </a:r>
                <a:r>
                  <a:rPr lang="en-US"/>
                  <a:t> Census Bureau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976824"/>
        <c:crosses val="autoZero"/>
        <c:auto val="1"/>
        <c:lblAlgn val="ctr"/>
        <c:lblOffset val="100"/>
        <c:noMultiLvlLbl val="0"/>
      </c:catAx>
      <c:valAx>
        <c:axId val="314976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978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 Korea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Korea!$A$2</c:f>
              <c:strCache>
                <c:ptCount val="1"/>
                <c:pt idx="0">
                  <c:v>Treasury Holdings</c:v>
                </c:pt>
              </c:strCache>
            </c:strRef>
          </c:tx>
          <c:spPr>
            <a:ln w="28575" cap="rnd">
              <a:solidFill>
                <a:schemeClr val="accent1"/>
              </a:solidFill>
              <a:round/>
            </a:ln>
            <a:effectLst/>
          </c:spPr>
          <c:marker>
            <c:symbol val="none"/>
          </c:marker>
          <c:cat>
            <c:numRef>
              <c:f>Korea!$B$1:$T$1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Korea!$B$2:$T$2</c:f>
              <c:numCache>
                <c:formatCode>#,##0</c:formatCode>
                <c:ptCount val="19"/>
                <c:pt idx="1">
                  <c:v>23772</c:v>
                </c:pt>
                <c:pt idx="3">
                  <c:v>30586</c:v>
                </c:pt>
                <c:pt idx="4">
                  <c:v>58459</c:v>
                </c:pt>
                <c:pt idx="5">
                  <c:v>43119</c:v>
                </c:pt>
                <c:pt idx="6">
                  <c:v>58063</c:v>
                </c:pt>
                <c:pt idx="7">
                  <c:v>61541</c:v>
                </c:pt>
                <c:pt idx="8">
                  <c:v>42840</c:v>
                </c:pt>
                <c:pt idx="9">
                  <c:v>39806</c:v>
                </c:pt>
                <c:pt idx="10">
                  <c:v>36359</c:v>
                </c:pt>
                <c:pt idx="11">
                  <c:v>34445</c:v>
                </c:pt>
                <c:pt idx="12">
                  <c:v>32556</c:v>
                </c:pt>
                <c:pt idx="13">
                  <c:v>40194</c:v>
                </c:pt>
                <c:pt idx="14">
                  <c:v>42022</c:v>
                </c:pt>
                <c:pt idx="15">
                  <c:v>47349</c:v>
                </c:pt>
                <c:pt idx="16">
                  <c:v>66059</c:v>
                </c:pt>
                <c:pt idx="17">
                  <c:v>75486</c:v>
                </c:pt>
                <c:pt idx="18">
                  <c:v>90356</c:v>
                </c:pt>
              </c:numCache>
            </c:numRef>
          </c:val>
          <c:smooth val="0"/>
          <c:extLst>
            <c:ext xmlns:c16="http://schemas.microsoft.com/office/drawing/2014/chart" uri="{C3380CC4-5D6E-409C-BE32-E72D297353CC}">
              <c16:uniqueId val="{00000000-C8C3-4555-808E-F279745EECFE}"/>
            </c:ext>
          </c:extLst>
        </c:ser>
        <c:dLbls>
          <c:showLegendKey val="0"/>
          <c:showVal val="0"/>
          <c:showCatName val="0"/>
          <c:showSerName val="0"/>
          <c:showPercent val="0"/>
          <c:showBubbleSize val="0"/>
        </c:dLbls>
        <c:marker val="1"/>
        <c:smooth val="0"/>
        <c:axId val="346609056"/>
        <c:axId val="346605528"/>
      </c:lineChart>
      <c:lineChart>
        <c:grouping val="standard"/>
        <c:varyColors val="0"/>
        <c:ser>
          <c:idx val="1"/>
          <c:order val="1"/>
          <c:tx>
            <c:strRef>
              <c:f>Korea!$A$3</c:f>
              <c:strCache>
                <c:ptCount val="1"/>
                <c:pt idx="0">
                  <c:v>Trade Balance</c:v>
                </c:pt>
              </c:strCache>
            </c:strRef>
          </c:tx>
          <c:spPr>
            <a:ln w="28575" cap="rnd">
              <a:solidFill>
                <a:schemeClr val="accent2"/>
              </a:solidFill>
              <a:round/>
            </a:ln>
            <a:effectLst/>
          </c:spPr>
          <c:marker>
            <c:symbol val="none"/>
          </c:marker>
          <c:cat>
            <c:numRef>
              <c:f>Korea!$B$1:$T$1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Korea!$B$3:$T$3</c:f>
              <c:numCache>
                <c:formatCode>#,##0</c:formatCode>
                <c:ptCount val="19"/>
                <c:pt idx="0">
                  <c:v>7402</c:v>
                </c:pt>
                <c:pt idx="1">
                  <c:v>11459</c:v>
                </c:pt>
                <c:pt idx="2">
                  <c:v>12363</c:v>
                </c:pt>
                <c:pt idx="3">
                  <c:v>11769</c:v>
                </c:pt>
                <c:pt idx="4">
                  <c:v>11848</c:v>
                </c:pt>
                <c:pt idx="5">
                  <c:v>18494</c:v>
                </c:pt>
                <c:pt idx="6">
                  <c:v>13128</c:v>
                </c:pt>
                <c:pt idx="7">
                  <c:v>10093</c:v>
                </c:pt>
                <c:pt idx="8">
                  <c:v>9305</c:v>
                </c:pt>
                <c:pt idx="9">
                  <c:v>7078</c:v>
                </c:pt>
                <c:pt idx="10">
                  <c:v>5044</c:v>
                </c:pt>
                <c:pt idx="11">
                  <c:v>3563</c:v>
                </c:pt>
                <c:pt idx="12">
                  <c:v>5433</c:v>
                </c:pt>
                <c:pt idx="13">
                  <c:v>7890</c:v>
                </c:pt>
                <c:pt idx="14">
                  <c:v>9115</c:v>
                </c:pt>
                <c:pt idx="15">
                  <c:v>14759</c:v>
                </c:pt>
                <c:pt idx="16">
                  <c:v>18252</c:v>
                </c:pt>
                <c:pt idx="17">
                  <c:v>16612</c:v>
                </c:pt>
                <c:pt idx="18">
                  <c:v>9297</c:v>
                </c:pt>
              </c:numCache>
            </c:numRef>
          </c:val>
          <c:smooth val="0"/>
          <c:extLst>
            <c:ext xmlns:c16="http://schemas.microsoft.com/office/drawing/2014/chart" uri="{C3380CC4-5D6E-409C-BE32-E72D297353CC}">
              <c16:uniqueId val="{00000001-C8C3-4555-808E-F279745EECFE}"/>
            </c:ext>
          </c:extLst>
        </c:ser>
        <c:dLbls>
          <c:showLegendKey val="0"/>
          <c:showVal val="0"/>
          <c:showCatName val="0"/>
          <c:showSerName val="0"/>
          <c:showPercent val="0"/>
          <c:showBubbleSize val="0"/>
        </c:dLbls>
        <c:marker val="1"/>
        <c:smooth val="0"/>
        <c:axId val="481552912"/>
        <c:axId val="481551312"/>
      </c:lineChart>
      <c:catAx>
        <c:axId val="346609056"/>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05528"/>
        <c:crosses val="autoZero"/>
        <c:auto val="1"/>
        <c:lblAlgn val="ctr"/>
        <c:lblOffset val="100"/>
        <c:noMultiLvlLbl val="0"/>
      </c:catAx>
      <c:valAx>
        <c:axId val="346605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a:t>
                </a:r>
                <a:r>
                  <a:rPr lang="en-US" baseline="0"/>
                  <a:t> Treasury Holdings, in Millions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09056"/>
        <c:crosses val="autoZero"/>
        <c:crossBetween val="between"/>
      </c:valAx>
      <c:valAx>
        <c:axId val="48155131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Balance of Trade, In Millions</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552912"/>
        <c:crosses val="max"/>
        <c:crossBetween val="between"/>
      </c:valAx>
      <c:catAx>
        <c:axId val="481552912"/>
        <c:scaling>
          <c:orientation val="minMax"/>
        </c:scaling>
        <c:delete val="1"/>
        <c:axPos val="b"/>
        <c:numFmt formatCode="General" sourceLinked="1"/>
        <c:majorTickMark val="out"/>
        <c:minorTickMark val="none"/>
        <c:tickLblPos val="nextTo"/>
        <c:crossAx val="481551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Dollar Inflation</a:t>
            </a:r>
            <a:r>
              <a:rPr lang="en-US" baseline="0"/>
              <a:t> and Private Sector</a:t>
            </a:r>
            <a:r>
              <a:rPr lang="en-US"/>
              <a:t> Union Membership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Private Sector Union Membership</c:v>
                </c:pt>
              </c:strCache>
            </c:strRef>
          </c:tx>
          <c:spPr>
            <a:ln w="28575" cap="rnd">
              <a:solidFill>
                <a:schemeClr val="accent1"/>
              </a:solidFill>
              <a:round/>
            </a:ln>
            <a:effectLst/>
          </c:spPr>
          <c:marker>
            <c:symbol val="none"/>
          </c:marker>
          <c:cat>
            <c:numRef>
              <c:f>Sheet1!$B$1:$AV$1</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Sheet1!$B$2:$AV$2</c:f>
              <c:numCache>
                <c:formatCode>General</c:formatCode>
                <c:ptCount val="47"/>
                <c:pt idx="3" formatCode="0.0">
                  <c:v>24.2</c:v>
                </c:pt>
                <c:pt idx="4" formatCode="0.0">
                  <c:v>23.4</c:v>
                </c:pt>
                <c:pt idx="5" formatCode="0.0">
                  <c:v>21.5</c:v>
                </c:pt>
                <c:pt idx="6" formatCode="0.0">
                  <c:v>21.3</c:v>
                </c:pt>
                <c:pt idx="7" formatCode="0.0">
                  <c:v>21.7</c:v>
                </c:pt>
                <c:pt idx="8" formatCode="0.0">
                  <c:v>20.7</c:v>
                </c:pt>
                <c:pt idx="9" formatCode="0.0">
                  <c:v>21.2</c:v>
                </c:pt>
                <c:pt idx="10" formatCode="0.0">
                  <c:v>20.100000000000001</c:v>
                </c:pt>
                <c:pt idx="11" formatCode="0.0">
                  <c:v>18.7</c:v>
                </c:pt>
                <c:pt idx="13" formatCode="0.0">
                  <c:v>16.5</c:v>
                </c:pt>
                <c:pt idx="14" formatCode="0.0">
                  <c:v>15.3</c:v>
                </c:pt>
                <c:pt idx="15" formatCode="0.0">
                  <c:v>14.3</c:v>
                </c:pt>
                <c:pt idx="16" formatCode="0.0">
                  <c:v>13.8</c:v>
                </c:pt>
                <c:pt idx="17" formatCode="0.0">
                  <c:v>13.2</c:v>
                </c:pt>
                <c:pt idx="18" formatCode="0.0">
                  <c:v>12.7</c:v>
                </c:pt>
                <c:pt idx="19" formatCode="0.0">
                  <c:v>12.3</c:v>
                </c:pt>
                <c:pt idx="20" formatCode="0.0">
                  <c:v>11.9</c:v>
                </c:pt>
                <c:pt idx="21" formatCode="0.0">
                  <c:v>11.7</c:v>
                </c:pt>
                <c:pt idx="22" formatCode="0.0">
                  <c:v>11.4</c:v>
                </c:pt>
                <c:pt idx="23" formatCode="0.0">
                  <c:v>11.1</c:v>
                </c:pt>
                <c:pt idx="24" formatCode="0.0">
                  <c:v>10.8</c:v>
                </c:pt>
                <c:pt idx="25" formatCode="0.0">
                  <c:v>10.3</c:v>
                </c:pt>
                <c:pt idx="26" formatCode="0.0">
                  <c:v>10</c:v>
                </c:pt>
                <c:pt idx="27" formatCode="0.0">
                  <c:v>9.6999999999999993</c:v>
                </c:pt>
                <c:pt idx="28" formatCode="0.0">
                  <c:v>9.5</c:v>
                </c:pt>
                <c:pt idx="29" formatCode="0.0">
                  <c:v>9.4</c:v>
                </c:pt>
                <c:pt idx="30" formatCode="0.0">
                  <c:v>9</c:v>
                </c:pt>
                <c:pt idx="31" formatCode="0.0">
                  <c:v>9</c:v>
                </c:pt>
                <c:pt idx="32" formatCode="0.0">
                  <c:v>8.6</c:v>
                </c:pt>
                <c:pt idx="33" formatCode="#,##0.0">
                  <c:v>8.1999999999999993</c:v>
                </c:pt>
                <c:pt idx="34" formatCode="#,##0.0">
                  <c:v>7.9</c:v>
                </c:pt>
                <c:pt idx="35">
                  <c:v>7.8</c:v>
                </c:pt>
                <c:pt idx="36" formatCode="0.0">
                  <c:v>7.4</c:v>
                </c:pt>
                <c:pt idx="37" formatCode="0.0">
                  <c:v>7.5</c:v>
                </c:pt>
                <c:pt idx="38" formatCode="0.0">
                  <c:v>7.6</c:v>
                </c:pt>
                <c:pt idx="39" formatCode="0.0">
                  <c:v>7.2</c:v>
                </c:pt>
                <c:pt idx="40" formatCode="0.0">
                  <c:v>6.9</c:v>
                </c:pt>
                <c:pt idx="41" formatCode="0.0">
                  <c:v>6.9</c:v>
                </c:pt>
                <c:pt idx="42" formatCode="0.0">
                  <c:v>6.7</c:v>
                </c:pt>
                <c:pt idx="43" formatCode="0.0">
                  <c:v>6.7</c:v>
                </c:pt>
                <c:pt idx="44" formatCode="0.0">
                  <c:v>6.6</c:v>
                </c:pt>
                <c:pt idx="45" formatCode="0.0">
                  <c:v>6.7</c:v>
                </c:pt>
                <c:pt idx="46">
                  <c:v>6.4</c:v>
                </c:pt>
              </c:numCache>
            </c:numRef>
          </c:val>
          <c:smooth val="0"/>
          <c:extLst>
            <c:ext xmlns:c16="http://schemas.microsoft.com/office/drawing/2014/chart" uri="{C3380CC4-5D6E-409C-BE32-E72D297353CC}">
              <c16:uniqueId val="{00000000-1CFA-4995-9220-F3DB0479CC5F}"/>
            </c:ext>
          </c:extLst>
        </c:ser>
        <c:ser>
          <c:idx val="1"/>
          <c:order val="1"/>
          <c:tx>
            <c:strRef>
              <c:f>Sheet1!$A$3</c:f>
              <c:strCache>
                <c:ptCount val="1"/>
                <c:pt idx="0">
                  <c:v>Inflation</c:v>
                </c:pt>
              </c:strCache>
            </c:strRef>
          </c:tx>
          <c:spPr>
            <a:ln w="28575" cap="rnd">
              <a:solidFill>
                <a:schemeClr val="accent2"/>
              </a:solidFill>
              <a:round/>
            </a:ln>
            <a:effectLst/>
          </c:spPr>
          <c:marker>
            <c:symbol val="none"/>
          </c:marker>
          <c:cat>
            <c:numRef>
              <c:f>Sheet1!$B$1:$AV$1</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Sheet1!$B$3:$AV$3</c:f>
              <c:numCache>
                <c:formatCode>General</c:formatCode>
                <c:ptCount val="47"/>
                <c:pt idx="3" formatCode="0.000000000">
                  <c:v>6.2200638640000001</c:v>
                </c:pt>
                <c:pt idx="4" formatCode="0.000000000">
                  <c:v>11.03526022</c:v>
                </c:pt>
                <c:pt idx="5" formatCode="0.000000000">
                  <c:v>9.1319307349999992</c:v>
                </c:pt>
                <c:pt idx="6" formatCode="0.000000000">
                  <c:v>5.7370270830000001</c:v>
                </c:pt>
                <c:pt idx="7" formatCode="0.000000000">
                  <c:v>6.4864600640000001</c:v>
                </c:pt>
                <c:pt idx="8" formatCode="0.000000000">
                  <c:v>7.6474638510000004</c:v>
                </c:pt>
                <c:pt idx="9" formatCode="0.000000000">
                  <c:v>11.266044089999999</c:v>
                </c:pt>
                <c:pt idx="10" formatCode="0.000000000">
                  <c:v>13.509370329999999</c:v>
                </c:pt>
                <c:pt idx="11" formatCode="0.000000000">
                  <c:v>10.31553398</c:v>
                </c:pt>
                <c:pt idx="12" formatCode="0.000000000">
                  <c:v>6.1606160619999999</c:v>
                </c:pt>
                <c:pt idx="13" formatCode="0.000000000">
                  <c:v>3.2124352329999999</c:v>
                </c:pt>
                <c:pt idx="14" formatCode="0.000000000">
                  <c:v>4.3172690759999997</c:v>
                </c:pt>
                <c:pt idx="15" formatCode="0.000000000">
                  <c:v>3.5611164579999999</c:v>
                </c:pt>
                <c:pt idx="16" formatCode="0.000000000">
                  <c:v>1.8587360589999999</c:v>
                </c:pt>
                <c:pt idx="17" formatCode="0.000000000">
                  <c:v>3.7408759119999999</c:v>
                </c:pt>
                <c:pt idx="18" formatCode="0.000000000">
                  <c:v>4.009088244</c:v>
                </c:pt>
                <c:pt idx="19" formatCode="0.000000000">
                  <c:v>4.8270030300000002</c:v>
                </c:pt>
                <c:pt idx="20" formatCode="0.000000000">
                  <c:v>5.3979564399999997</c:v>
                </c:pt>
                <c:pt idx="21" formatCode="0.000000000">
                  <c:v>4.2349639650000004</c:v>
                </c:pt>
                <c:pt idx="22" formatCode="0.000000000">
                  <c:v>3.0288196780000001</c:v>
                </c:pt>
                <c:pt idx="23" formatCode="0.000000000">
                  <c:v>2.9516569659999998</c:v>
                </c:pt>
                <c:pt idx="24" formatCode="0.000000000">
                  <c:v>2.6074415919999998</c:v>
                </c:pt>
                <c:pt idx="25" formatCode="0.000000000">
                  <c:v>2.8054196889999998</c:v>
                </c:pt>
                <c:pt idx="26" formatCode="0.000000000">
                  <c:v>2.9312041999999998</c:v>
                </c:pt>
                <c:pt idx="27" formatCode="0.000000000">
                  <c:v>2.3376899369999999</c:v>
                </c:pt>
                <c:pt idx="28" formatCode="0.000000000">
                  <c:v>1.5522790989999999</c:v>
                </c:pt>
                <c:pt idx="29" formatCode="0.000000000">
                  <c:v>2.1880271969999998</c:v>
                </c:pt>
                <c:pt idx="30" formatCode="0.000000000">
                  <c:v>3.376857271</c:v>
                </c:pt>
                <c:pt idx="31" formatCode="0.000000000">
                  <c:v>2.8261711190000001</c:v>
                </c:pt>
                <c:pt idx="32" formatCode="0.000000000">
                  <c:v>1.5860316270000001</c:v>
                </c:pt>
                <c:pt idx="33" formatCode="0.000000000">
                  <c:v>2.270094973</c:v>
                </c:pt>
                <c:pt idx="34" formatCode="0.000000000">
                  <c:v>2.6772366929999998</c:v>
                </c:pt>
                <c:pt idx="35" formatCode="0.000000000">
                  <c:v>3.392746845</c:v>
                </c:pt>
                <c:pt idx="36" formatCode="0.000000000">
                  <c:v>3.2259441010000001</c:v>
                </c:pt>
                <c:pt idx="37" formatCode="0.000000000">
                  <c:v>2.852672482</c:v>
                </c:pt>
                <c:pt idx="38" formatCode="0.000000000">
                  <c:v>3.8391002969999999</c:v>
                </c:pt>
                <c:pt idx="39" formatCode="0.000000000">
                  <c:v>-0.355546266</c:v>
                </c:pt>
                <c:pt idx="40" formatCode="0.000000000">
                  <c:v>1.6400434420000001</c:v>
                </c:pt>
                <c:pt idx="41" formatCode="0.000000000">
                  <c:v>3.156841569</c:v>
                </c:pt>
                <c:pt idx="42" formatCode="0.000000000">
                  <c:v>2.0693372650000001</c:v>
                </c:pt>
                <c:pt idx="43" formatCode="0.000000000">
                  <c:v>1.464832656</c:v>
                </c:pt>
                <c:pt idx="44" formatCode="0.000000000">
                  <c:v>1.6222229770000001</c:v>
                </c:pt>
                <c:pt idx="45" formatCode="0.000000000">
                  <c:v>0.11862713599999999</c:v>
                </c:pt>
                <c:pt idx="46" formatCode="0.000000000">
                  <c:v>1.2615832060000001</c:v>
                </c:pt>
              </c:numCache>
            </c:numRef>
          </c:val>
          <c:smooth val="0"/>
          <c:extLst>
            <c:ext xmlns:c16="http://schemas.microsoft.com/office/drawing/2014/chart" uri="{C3380CC4-5D6E-409C-BE32-E72D297353CC}">
              <c16:uniqueId val="{00000001-1CFA-4995-9220-F3DB0479CC5F}"/>
            </c:ext>
          </c:extLst>
        </c:ser>
        <c:dLbls>
          <c:showLegendKey val="0"/>
          <c:showVal val="0"/>
          <c:showCatName val="0"/>
          <c:showSerName val="0"/>
          <c:showPercent val="0"/>
          <c:showBubbleSize val="0"/>
        </c:dLbls>
        <c:smooth val="0"/>
        <c:axId val="545812944"/>
        <c:axId val="545809744"/>
      </c:lineChart>
      <c:catAx>
        <c:axId val="54581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809744"/>
        <c:crosses val="autoZero"/>
        <c:auto val="1"/>
        <c:lblAlgn val="ctr"/>
        <c:lblOffset val="100"/>
        <c:noMultiLvlLbl val="0"/>
      </c:catAx>
      <c:valAx>
        <c:axId val="54580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81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Current</a:t>
            </a:r>
            <a:r>
              <a:rPr lang="en-US" baseline="0"/>
              <a:t> Account Balances </a:t>
            </a:r>
          </a:p>
          <a:p>
            <a:pPr>
              <a:defRPr/>
            </a:pPr>
            <a:r>
              <a:rPr lang="en-US" baseline="0"/>
              <a:t>(Millions of USD)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2"/>
          <c:tx>
            <c:strRef>
              <c:f>trade!$B$5</c:f>
              <c:strCache>
                <c:ptCount val="1"/>
                <c:pt idx="0">
                  <c:v>Emerging Market and Developing Countries</c:v>
                </c:pt>
              </c:strCache>
            </c:strRef>
          </c:tx>
          <c:spPr>
            <a:ln w="28575" cap="rnd">
              <a:solidFill>
                <a:schemeClr val="accent3"/>
              </a:solidFill>
              <a:round/>
            </a:ln>
            <a:effectLst/>
          </c:spPr>
          <c:marker>
            <c:symbol val="none"/>
          </c:marker>
          <c:cat>
            <c:numRef>
              <c:f>trade!$C$2:$AL$2</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trade!$C$5:$AL$5</c:f>
              <c:numCache>
                <c:formatCode>General</c:formatCode>
                <c:ptCount val="36"/>
                <c:pt idx="0">
                  <c:v>34.427999999999997</c:v>
                </c:pt>
                <c:pt idx="1">
                  <c:v>-26.309000000000001</c:v>
                </c:pt>
                <c:pt idx="2">
                  <c:v>-52.116999999999997</c:v>
                </c:pt>
                <c:pt idx="3">
                  <c:v>-42.875999999999998</c:v>
                </c:pt>
                <c:pt idx="4">
                  <c:v>-17.803000000000001</c:v>
                </c:pt>
                <c:pt idx="5">
                  <c:v>-8.8059999999999992</c:v>
                </c:pt>
                <c:pt idx="6">
                  <c:v>0</c:v>
                </c:pt>
                <c:pt idx="7">
                  <c:v>0</c:v>
                </c:pt>
                <c:pt idx="8">
                  <c:v>0</c:v>
                </c:pt>
                <c:pt idx="9">
                  <c:v>0</c:v>
                </c:pt>
                <c:pt idx="10">
                  <c:v>0</c:v>
                </c:pt>
                <c:pt idx="11">
                  <c:v>0</c:v>
                </c:pt>
                <c:pt idx="12">
                  <c:v>0</c:v>
                </c:pt>
                <c:pt idx="13">
                  <c:v>0</c:v>
                </c:pt>
                <c:pt idx="14">
                  <c:v>0</c:v>
                </c:pt>
                <c:pt idx="15">
                  <c:v>0</c:v>
                </c:pt>
                <c:pt idx="16">
                  <c:v>0</c:v>
                </c:pt>
                <c:pt idx="17">
                  <c:v>-72.552999999999997</c:v>
                </c:pt>
                <c:pt idx="18">
                  <c:v>-102.042</c:v>
                </c:pt>
                <c:pt idx="19">
                  <c:v>-1.51</c:v>
                </c:pt>
                <c:pt idx="20">
                  <c:v>96.981999999999999</c:v>
                </c:pt>
                <c:pt idx="21">
                  <c:v>55.613999999999997</c:v>
                </c:pt>
                <c:pt idx="22">
                  <c:v>93.144000000000005</c:v>
                </c:pt>
                <c:pt idx="23">
                  <c:v>164.82</c:v>
                </c:pt>
                <c:pt idx="24">
                  <c:v>229.96199999999999</c:v>
                </c:pt>
                <c:pt idx="25">
                  <c:v>447.04300000000001</c:v>
                </c:pt>
                <c:pt idx="26">
                  <c:v>641.30999999999995</c:v>
                </c:pt>
                <c:pt idx="27">
                  <c:v>610.83000000000004</c:v>
                </c:pt>
                <c:pt idx="28">
                  <c:v>680.79899999999998</c:v>
                </c:pt>
                <c:pt idx="29">
                  <c:v>245.34299999999999</c:v>
                </c:pt>
                <c:pt idx="30">
                  <c:v>280.10000000000002</c:v>
                </c:pt>
                <c:pt idx="31">
                  <c:v>379.07799999999997</c:v>
                </c:pt>
                <c:pt idx="32">
                  <c:v>355.69799999999998</c:v>
                </c:pt>
                <c:pt idx="33">
                  <c:v>177.47499999999999</c:v>
                </c:pt>
                <c:pt idx="34">
                  <c:v>168.845</c:v>
                </c:pt>
                <c:pt idx="35">
                  <c:v>-59.735999999999997</c:v>
                </c:pt>
              </c:numCache>
            </c:numRef>
          </c:val>
          <c:smooth val="0"/>
          <c:extLst>
            <c:ext xmlns:c16="http://schemas.microsoft.com/office/drawing/2014/chart" uri="{C3380CC4-5D6E-409C-BE32-E72D297353CC}">
              <c16:uniqueId val="{00000000-A0FD-4187-B566-D57AB1568041}"/>
            </c:ext>
          </c:extLst>
        </c:ser>
        <c:ser>
          <c:idx val="3"/>
          <c:order val="3"/>
          <c:tx>
            <c:strRef>
              <c:f>trade!$B$6</c:f>
              <c:strCache>
                <c:ptCount val="1"/>
                <c:pt idx="0">
                  <c:v>U.S.</c:v>
                </c:pt>
              </c:strCache>
            </c:strRef>
          </c:tx>
          <c:spPr>
            <a:ln w="28575" cap="rnd">
              <a:solidFill>
                <a:schemeClr val="accent4"/>
              </a:solidFill>
              <a:round/>
            </a:ln>
            <a:effectLst/>
          </c:spPr>
          <c:marker>
            <c:symbol val="none"/>
          </c:marker>
          <c:cat>
            <c:numRef>
              <c:f>trade!$C$2:$AL$2</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trade!$C$6:$AL$6</c:f>
              <c:numCache>
                <c:formatCode>General</c:formatCode>
                <c:ptCount val="36"/>
                <c:pt idx="0">
                  <c:v>2.3159999999999998</c:v>
                </c:pt>
                <c:pt idx="1">
                  <c:v>5.0309999999999997</c:v>
                </c:pt>
                <c:pt idx="2">
                  <c:v>-5.5330000000000004</c:v>
                </c:pt>
                <c:pt idx="3">
                  <c:v>-38.695</c:v>
                </c:pt>
                <c:pt idx="4">
                  <c:v>-94.341999999999999</c:v>
                </c:pt>
                <c:pt idx="5">
                  <c:v>-118.15900000000001</c:v>
                </c:pt>
                <c:pt idx="6">
                  <c:v>-147.17599999999999</c:v>
                </c:pt>
                <c:pt idx="7">
                  <c:v>-160.661</c:v>
                </c:pt>
                <c:pt idx="8">
                  <c:v>-121.15900000000001</c:v>
                </c:pt>
                <c:pt idx="9">
                  <c:v>-99.484999999999999</c:v>
                </c:pt>
                <c:pt idx="10">
                  <c:v>-78.965000000000003</c:v>
                </c:pt>
                <c:pt idx="11">
                  <c:v>2.895</c:v>
                </c:pt>
                <c:pt idx="12">
                  <c:v>-51.613999999999997</c:v>
                </c:pt>
                <c:pt idx="13">
                  <c:v>-84.816000000000003</c:v>
                </c:pt>
                <c:pt idx="14">
                  <c:v>-121.61199999999999</c:v>
                </c:pt>
                <c:pt idx="15">
                  <c:v>-113.571</c:v>
                </c:pt>
                <c:pt idx="16">
                  <c:v>-124.773</c:v>
                </c:pt>
                <c:pt idx="17">
                  <c:v>-140.72</c:v>
                </c:pt>
                <c:pt idx="18">
                  <c:v>-215.066</c:v>
                </c:pt>
                <c:pt idx="19">
                  <c:v>-288.36099999999999</c:v>
                </c:pt>
                <c:pt idx="20">
                  <c:v>-403.45100000000002</c:v>
                </c:pt>
                <c:pt idx="21">
                  <c:v>-389.68599999999998</c:v>
                </c:pt>
                <c:pt idx="22">
                  <c:v>-450.79399999999998</c:v>
                </c:pt>
                <c:pt idx="23">
                  <c:v>-518.75099999999998</c:v>
                </c:pt>
                <c:pt idx="24">
                  <c:v>-631.59299999999996</c:v>
                </c:pt>
                <c:pt idx="25">
                  <c:v>-745.23299999999995</c:v>
                </c:pt>
                <c:pt idx="26">
                  <c:v>-805.96299999999997</c:v>
                </c:pt>
                <c:pt idx="27">
                  <c:v>-711.03599999999994</c:v>
                </c:pt>
                <c:pt idx="28">
                  <c:v>-681.39</c:v>
                </c:pt>
                <c:pt idx="29">
                  <c:v>-372.52199999999999</c:v>
                </c:pt>
                <c:pt idx="30">
                  <c:v>-430.69799999999998</c:v>
                </c:pt>
                <c:pt idx="31">
                  <c:v>-444.59</c:v>
                </c:pt>
                <c:pt idx="32">
                  <c:v>-426.19799999999998</c:v>
                </c:pt>
                <c:pt idx="33">
                  <c:v>-349.54300000000001</c:v>
                </c:pt>
                <c:pt idx="34">
                  <c:v>-373.8</c:v>
                </c:pt>
                <c:pt idx="35">
                  <c:v>-434.59699999999998</c:v>
                </c:pt>
              </c:numCache>
            </c:numRef>
          </c:val>
          <c:smooth val="0"/>
          <c:extLst>
            <c:ext xmlns:c16="http://schemas.microsoft.com/office/drawing/2014/chart" uri="{C3380CC4-5D6E-409C-BE32-E72D297353CC}">
              <c16:uniqueId val="{00000001-A0FD-4187-B566-D57AB1568041}"/>
            </c:ext>
          </c:extLst>
        </c:ser>
        <c:ser>
          <c:idx val="5"/>
          <c:order val="5"/>
          <c:tx>
            <c:strRef>
              <c:f>trade!$B$8</c:f>
              <c:strCache>
                <c:ptCount val="1"/>
                <c:pt idx="0">
                  <c:v>China</c:v>
                </c:pt>
              </c:strCache>
            </c:strRef>
          </c:tx>
          <c:spPr>
            <a:ln w="28575" cap="rnd">
              <a:solidFill>
                <a:schemeClr val="accent6"/>
              </a:solidFill>
              <a:round/>
            </a:ln>
            <a:effectLst/>
          </c:spPr>
          <c:marker>
            <c:symbol val="none"/>
          </c:marker>
          <c:cat>
            <c:numRef>
              <c:f>trade!$C$2:$AL$2</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trade!$C$8:$AL$8</c:f>
              <c:numCache>
                <c:formatCode>General</c:formatCode>
                <c:ptCount val="3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36.963000000000001</c:v>
                </c:pt>
                <c:pt idx="18">
                  <c:v>31.471</c:v>
                </c:pt>
                <c:pt idx="19">
                  <c:v>21.114000000000001</c:v>
                </c:pt>
                <c:pt idx="20">
                  <c:v>20.431999999999999</c:v>
                </c:pt>
                <c:pt idx="21">
                  <c:v>17.405000000000001</c:v>
                </c:pt>
                <c:pt idx="22">
                  <c:v>35.421999999999997</c:v>
                </c:pt>
                <c:pt idx="23">
                  <c:v>43.052</c:v>
                </c:pt>
                <c:pt idx="24">
                  <c:v>68.941000000000003</c:v>
                </c:pt>
                <c:pt idx="25">
                  <c:v>132.37799999999999</c:v>
                </c:pt>
                <c:pt idx="26">
                  <c:v>231.84299999999999</c:v>
                </c:pt>
                <c:pt idx="27">
                  <c:v>353.18299999999999</c:v>
                </c:pt>
                <c:pt idx="28">
                  <c:v>420.56900000000002</c:v>
                </c:pt>
                <c:pt idx="29">
                  <c:v>243.25700000000001</c:v>
                </c:pt>
                <c:pt idx="30">
                  <c:v>237.81</c:v>
                </c:pt>
                <c:pt idx="31">
                  <c:v>136.09700000000001</c:v>
                </c:pt>
                <c:pt idx="32">
                  <c:v>215.392</c:v>
                </c:pt>
                <c:pt idx="33">
                  <c:v>148.20400000000001</c:v>
                </c:pt>
                <c:pt idx="34">
                  <c:v>236.047</c:v>
                </c:pt>
                <c:pt idx="35">
                  <c:v>304.16399999999999</c:v>
                </c:pt>
              </c:numCache>
            </c:numRef>
          </c:val>
          <c:smooth val="0"/>
          <c:extLst>
            <c:ext xmlns:c16="http://schemas.microsoft.com/office/drawing/2014/chart" uri="{C3380CC4-5D6E-409C-BE32-E72D297353CC}">
              <c16:uniqueId val="{00000002-A0FD-4187-B566-D57AB1568041}"/>
            </c:ext>
          </c:extLst>
        </c:ser>
        <c:dLbls>
          <c:showLegendKey val="0"/>
          <c:showVal val="0"/>
          <c:showCatName val="0"/>
          <c:showSerName val="0"/>
          <c:showPercent val="0"/>
          <c:showBubbleSize val="0"/>
        </c:dLbls>
        <c:smooth val="0"/>
        <c:axId val="427158792"/>
        <c:axId val="427161928"/>
        <c:extLst>
          <c:ext xmlns:c15="http://schemas.microsoft.com/office/drawing/2012/chart" uri="{02D57815-91ED-43cb-92C2-25804820EDAC}">
            <c15:filteredLineSeries>
              <c15:ser>
                <c:idx val="0"/>
                <c:order val="0"/>
                <c:tx>
                  <c:strRef>
                    <c:extLst>
                      <c:ext uri="{02D57815-91ED-43cb-92C2-25804820EDAC}">
                        <c15:formulaRef>
                          <c15:sqref>trade!$B$3</c15:sqref>
                        </c15:formulaRef>
                      </c:ext>
                    </c:extLst>
                    <c:strCache>
                      <c:ptCount val="1"/>
                      <c:pt idx="0">
                        <c:v>EU and Japan</c:v>
                      </c:pt>
                    </c:strCache>
                  </c:strRef>
                </c:tx>
                <c:spPr>
                  <a:ln w="28575" cap="rnd">
                    <a:solidFill>
                      <a:schemeClr val="accent1"/>
                    </a:solidFill>
                    <a:round/>
                  </a:ln>
                  <a:effectLst/>
                </c:spPr>
                <c:marker>
                  <c:symbol val="none"/>
                </c:marker>
                <c:cat>
                  <c:numRef>
                    <c:extLst>
                      <c:ext uri="{02D57815-91ED-43cb-92C2-25804820EDAC}">
                        <c15:formulaRef>
                          <c15:sqref>trade!$C$2:$AL$2</c15:sqref>
                        </c15:formulaRef>
                      </c:ext>
                    </c:extLst>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extLst>
                      <c:ext uri="{02D57815-91ED-43cb-92C2-25804820EDAC}">
                        <c15:formulaRef>
                          <c15:sqref>trade!$C$3:$AL$3</c15:sqref>
                        </c15:formulaRef>
                      </c:ext>
                    </c:extLst>
                    <c:numCache>
                      <c:formatCode>General</c:formatCode>
                      <c:ptCount val="36"/>
                      <c:pt idx="0">
                        <c:v>-78.662000000000006</c:v>
                      </c:pt>
                      <c:pt idx="1">
                        <c:v>-40.921999999999997</c:v>
                      </c:pt>
                      <c:pt idx="2">
                        <c:v>-23.061</c:v>
                      </c:pt>
                      <c:pt idx="3">
                        <c:v>16.942</c:v>
                      </c:pt>
                      <c:pt idx="4">
                        <c:v>41.436999999999998</c:v>
                      </c:pt>
                      <c:pt idx="5">
                        <c:v>58.466000000000001</c:v>
                      </c:pt>
                      <c:pt idx="6">
                        <c:v>124.95400000000001</c:v>
                      </c:pt>
                      <c:pt idx="7">
                        <c:v>109.333</c:v>
                      </c:pt>
                      <c:pt idx="8">
                        <c:v>89.385999999999996</c:v>
                      </c:pt>
                      <c:pt idx="9">
                        <c:v>50.574000000000005</c:v>
                      </c:pt>
                      <c:pt idx="10">
                        <c:v>5.2220000000000013</c:v>
                      </c:pt>
                      <c:pt idx="11">
                        <c:v>-33.787999999999997</c:v>
                      </c:pt>
                      <c:pt idx="12">
                        <c:v>14.616</c:v>
                      </c:pt>
                      <c:pt idx="13">
                        <c:v>121.78400000000001</c:v>
                      </c:pt>
                      <c:pt idx="14">
                        <c:v>132.209</c:v>
                      </c:pt>
                      <c:pt idx="15">
                        <c:v>140.12199999999999</c:v>
                      </c:pt>
                      <c:pt idx="16">
                        <c:v>121.259</c:v>
                      </c:pt>
                      <c:pt idx="17">
                        <c:v>193.71600000000001</c:v>
                      </c:pt>
                      <c:pt idx="18">
                        <c:v>166.87799999999999</c:v>
                      </c:pt>
                      <c:pt idx="19">
                        <c:v>109.511</c:v>
                      </c:pt>
                      <c:pt idx="20">
                        <c:v>66.737000000000009</c:v>
                      </c:pt>
                      <c:pt idx="21">
                        <c:v>69.483000000000004</c:v>
                      </c:pt>
                      <c:pt idx="22">
                        <c:v>125.08</c:v>
                      </c:pt>
                      <c:pt idx="23">
                        <c:v>144.98399999999998</c:v>
                      </c:pt>
                      <c:pt idx="24">
                        <c:v>240.21</c:v>
                      </c:pt>
                      <c:pt idx="25">
                        <c:v>165.52699999999999</c:v>
                      </c:pt>
                      <c:pt idx="26">
                        <c:v>130.43</c:v>
                      </c:pt>
                      <c:pt idx="27">
                        <c:v>89.344000000000008</c:v>
                      </c:pt>
                      <c:pt idx="28">
                        <c:v>-139.202</c:v>
                      </c:pt>
                      <c:pt idx="29">
                        <c:v>101.768</c:v>
                      </c:pt>
                      <c:pt idx="30">
                        <c:v>197.071</c:v>
                      </c:pt>
                      <c:pt idx="31">
                        <c:v>192.24600000000001</c:v>
                      </c:pt>
                      <c:pt idx="32">
                        <c:v>248.06399999999999</c:v>
                      </c:pt>
                      <c:pt idx="33">
                        <c:v>315.14400000000001</c:v>
                      </c:pt>
                      <c:pt idx="34">
                        <c:v>322.80099999999999</c:v>
                      </c:pt>
                      <c:pt idx="35">
                        <c:v>472.096</c:v>
                      </c:pt>
                    </c:numCache>
                  </c:numRef>
                </c:val>
                <c:smooth val="0"/>
                <c:extLst>
                  <c:ext xmlns:c16="http://schemas.microsoft.com/office/drawing/2014/chart" uri="{C3380CC4-5D6E-409C-BE32-E72D297353CC}">
                    <c16:uniqueId val="{00000003-A0FD-4187-B566-D57AB1568041}"/>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trade!$B$4</c15:sqref>
                        </c15:formulaRef>
                      </c:ext>
                    </c:extLst>
                    <c:strCache>
                      <c:ptCount val="1"/>
                      <c:pt idx="0">
                        <c:v>EU</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trade!$C$2:$AL$2</c15:sqref>
                        </c15:formulaRef>
                      </c:ext>
                    </c:extLst>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extLst xmlns:c15="http://schemas.microsoft.com/office/drawing/2012/chart">
                      <c:ext xmlns:c15="http://schemas.microsoft.com/office/drawing/2012/chart" uri="{02D57815-91ED-43cb-92C2-25804820EDAC}">
                        <c15:formulaRef>
                          <c15:sqref>trade!$C$4:$AL$4</c15:sqref>
                        </c15:formulaRef>
                      </c:ext>
                    </c:extLst>
                    <c:numCache>
                      <c:formatCode>General</c:formatCode>
                      <c:ptCount val="36"/>
                      <c:pt idx="0">
                        <c:v>-67.912000000000006</c:v>
                      </c:pt>
                      <c:pt idx="1">
                        <c:v>-45.683</c:v>
                      </c:pt>
                      <c:pt idx="2">
                        <c:v>-29.908000000000001</c:v>
                      </c:pt>
                      <c:pt idx="3">
                        <c:v>-3.8620000000000001</c:v>
                      </c:pt>
                      <c:pt idx="4">
                        <c:v>6.4279999999999999</c:v>
                      </c:pt>
                      <c:pt idx="5">
                        <c:v>8.2859999999999996</c:v>
                      </c:pt>
                      <c:pt idx="6">
                        <c:v>40.432000000000002</c:v>
                      </c:pt>
                      <c:pt idx="7">
                        <c:v>25.08</c:v>
                      </c:pt>
                      <c:pt idx="8">
                        <c:v>10.212999999999999</c:v>
                      </c:pt>
                      <c:pt idx="9">
                        <c:v>-12.568</c:v>
                      </c:pt>
                      <c:pt idx="10">
                        <c:v>-39.487000000000002</c:v>
                      </c:pt>
                      <c:pt idx="11">
                        <c:v>-101.904</c:v>
                      </c:pt>
                      <c:pt idx="12">
                        <c:v>-97.778000000000006</c:v>
                      </c:pt>
                      <c:pt idx="13">
                        <c:v>-10.134</c:v>
                      </c:pt>
                      <c:pt idx="14">
                        <c:v>1.6659999999999999</c:v>
                      </c:pt>
                      <c:pt idx="15">
                        <c:v>29.7</c:v>
                      </c:pt>
                      <c:pt idx="16">
                        <c:v>52.322000000000003</c:v>
                      </c:pt>
                      <c:pt idx="17">
                        <c:v>98.561999999999998</c:v>
                      </c:pt>
                      <c:pt idx="18">
                        <c:v>51.784999999999997</c:v>
                      </c:pt>
                      <c:pt idx="19">
                        <c:v>-4.7329999999999997</c:v>
                      </c:pt>
                      <c:pt idx="20">
                        <c:v>-63.914000000000001</c:v>
                      </c:pt>
                      <c:pt idx="21">
                        <c:v>-16.702999999999999</c:v>
                      </c:pt>
                      <c:pt idx="22">
                        <c:v>15.955</c:v>
                      </c:pt>
                      <c:pt idx="23">
                        <c:v>5.57</c:v>
                      </c:pt>
                      <c:pt idx="24">
                        <c:v>58.161000000000001</c:v>
                      </c:pt>
                      <c:pt idx="25">
                        <c:v>-4.6079999999999997</c:v>
                      </c:pt>
                      <c:pt idx="26">
                        <c:v>-44.106000000000002</c:v>
                      </c:pt>
                      <c:pt idx="27">
                        <c:v>-122.794</c:v>
                      </c:pt>
                      <c:pt idx="28">
                        <c:v>-281.80099999999999</c:v>
                      </c:pt>
                      <c:pt idx="29">
                        <c:v>-43.481999999999999</c:v>
                      </c:pt>
                      <c:pt idx="30">
                        <c:v>-23.914999999999999</c:v>
                      </c:pt>
                      <c:pt idx="31">
                        <c:v>62.411999999999999</c:v>
                      </c:pt>
                      <c:pt idx="32">
                        <c:v>188.36099999999999</c:v>
                      </c:pt>
                      <c:pt idx="33">
                        <c:v>269.2</c:v>
                      </c:pt>
                      <c:pt idx="34">
                        <c:v>286.00700000000001</c:v>
                      </c:pt>
                      <c:pt idx="35">
                        <c:v>338.005</c:v>
                      </c:pt>
                    </c:numCache>
                  </c:numRef>
                </c:val>
                <c:smooth val="0"/>
                <c:extLst xmlns:c15="http://schemas.microsoft.com/office/drawing/2012/chart">
                  <c:ext xmlns:c16="http://schemas.microsoft.com/office/drawing/2014/chart" uri="{C3380CC4-5D6E-409C-BE32-E72D297353CC}">
                    <c16:uniqueId val="{00000004-A0FD-4187-B566-D57AB1568041}"/>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trade!$B$7</c15:sqref>
                        </c15:formulaRef>
                      </c:ext>
                    </c:extLst>
                    <c:strCache>
                      <c:ptCount val="1"/>
                      <c:pt idx="0">
                        <c:v>Japan</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trade!$C$2:$AL$2</c15:sqref>
                        </c15:formulaRef>
                      </c:ext>
                    </c:extLst>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extLst xmlns:c15="http://schemas.microsoft.com/office/drawing/2012/chart">
                      <c:ext xmlns:c15="http://schemas.microsoft.com/office/drawing/2012/chart" uri="{02D57815-91ED-43cb-92C2-25804820EDAC}">
                        <c15:formulaRef>
                          <c15:sqref>trade!$C$7:$AL$7</c15:sqref>
                        </c15:formulaRef>
                      </c:ext>
                    </c:extLst>
                    <c:numCache>
                      <c:formatCode>General</c:formatCode>
                      <c:ptCount val="36"/>
                      <c:pt idx="0">
                        <c:v>-10.75</c:v>
                      </c:pt>
                      <c:pt idx="1">
                        <c:v>4.7610000000000001</c:v>
                      </c:pt>
                      <c:pt idx="2">
                        <c:v>6.8470000000000004</c:v>
                      </c:pt>
                      <c:pt idx="3">
                        <c:v>20.803999999999998</c:v>
                      </c:pt>
                      <c:pt idx="4">
                        <c:v>35.009</c:v>
                      </c:pt>
                      <c:pt idx="5">
                        <c:v>50.18</c:v>
                      </c:pt>
                      <c:pt idx="6">
                        <c:v>84.522000000000006</c:v>
                      </c:pt>
                      <c:pt idx="7">
                        <c:v>84.253</c:v>
                      </c:pt>
                      <c:pt idx="8">
                        <c:v>79.173000000000002</c:v>
                      </c:pt>
                      <c:pt idx="9">
                        <c:v>63.142000000000003</c:v>
                      </c:pt>
                      <c:pt idx="10">
                        <c:v>44.709000000000003</c:v>
                      </c:pt>
                      <c:pt idx="11">
                        <c:v>68.116</c:v>
                      </c:pt>
                      <c:pt idx="12">
                        <c:v>112.39400000000001</c:v>
                      </c:pt>
                      <c:pt idx="13">
                        <c:v>131.91800000000001</c:v>
                      </c:pt>
                      <c:pt idx="14">
                        <c:v>130.54300000000001</c:v>
                      </c:pt>
                      <c:pt idx="15">
                        <c:v>110.422</c:v>
                      </c:pt>
                      <c:pt idx="16">
                        <c:v>68.936999999999998</c:v>
                      </c:pt>
                      <c:pt idx="17">
                        <c:v>95.153999999999996</c:v>
                      </c:pt>
                      <c:pt idx="18">
                        <c:v>115.093</c:v>
                      </c:pt>
                      <c:pt idx="19">
                        <c:v>114.244</c:v>
                      </c:pt>
                      <c:pt idx="20">
                        <c:v>130.65100000000001</c:v>
                      </c:pt>
                      <c:pt idx="21">
                        <c:v>86.186000000000007</c:v>
                      </c:pt>
                      <c:pt idx="22">
                        <c:v>109.125</c:v>
                      </c:pt>
                      <c:pt idx="23">
                        <c:v>139.41399999999999</c:v>
                      </c:pt>
                      <c:pt idx="24">
                        <c:v>182.04900000000001</c:v>
                      </c:pt>
                      <c:pt idx="25">
                        <c:v>170.13499999999999</c:v>
                      </c:pt>
                      <c:pt idx="26">
                        <c:v>174.536</c:v>
                      </c:pt>
                      <c:pt idx="27">
                        <c:v>212.13800000000001</c:v>
                      </c:pt>
                      <c:pt idx="28">
                        <c:v>142.59899999999999</c:v>
                      </c:pt>
                      <c:pt idx="29">
                        <c:v>145.25</c:v>
                      </c:pt>
                      <c:pt idx="30">
                        <c:v>220.98599999999999</c:v>
                      </c:pt>
                      <c:pt idx="31">
                        <c:v>129.834</c:v>
                      </c:pt>
                      <c:pt idx="32">
                        <c:v>59.703000000000003</c:v>
                      </c:pt>
                      <c:pt idx="33">
                        <c:v>45.944000000000003</c:v>
                      </c:pt>
                      <c:pt idx="34">
                        <c:v>36.793999999999997</c:v>
                      </c:pt>
                      <c:pt idx="35">
                        <c:v>134.09100000000001</c:v>
                      </c:pt>
                    </c:numCache>
                  </c:numRef>
                </c:val>
                <c:smooth val="0"/>
                <c:extLst xmlns:c15="http://schemas.microsoft.com/office/drawing/2012/chart">
                  <c:ext xmlns:c16="http://schemas.microsoft.com/office/drawing/2014/chart" uri="{C3380CC4-5D6E-409C-BE32-E72D297353CC}">
                    <c16:uniqueId val="{00000005-A0FD-4187-B566-D57AB1568041}"/>
                  </c:ext>
                </c:extLst>
              </c15:ser>
            </c15:filteredLineSeries>
          </c:ext>
        </c:extLst>
      </c:lineChart>
      <c:catAx>
        <c:axId val="427158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Source: IMF, World Economic Outlook</a:t>
                </a:r>
              </a:p>
            </c:rich>
          </c:tx>
          <c:layout>
            <c:manualLayout>
              <c:xMode val="edge"/>
              <c:yMode val="edge"/>
              <c:x val="0.3006010498687664"/>
              <c:y val="0.920344852726742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161928"/>
        <c:crosses val="autoZero"/>
        <c:auto val="1"/>
        <c:lblAlgn val="ctr"/>
        <c:lblOffset val="100"/>
        <c:noMultiLvlLbl val="0"/>
      </c:catAx>
      <c:valAx>
        <c:axId val="427161928"/>
        <c:scaling>
          <c:orientation val="minMax"/>
          <c:max val="700"/>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158792"/>
        <c:crosses val="autoZero"/>
        <c:crossBetween val="between"/>
      </c:valAx>
      <c:spPr>
        <a:noFill/>
        <a:ln>
          <a:noFill/>
        </a:ln>
        <a:effectLst/>
      </c:spPr>
    </c:plotArea>
    <c:legend>
      <c:legendPos val="b"/>
      <c:layout>
        <c:manualLayout>
          <c:xMode val="edge"/>
          <c:yMode val="edge"/>
          <c:x val="0.10074190726159231"/>
          <c:y val="0.74073855351414419"/>
          <c:w val="0.84018263342082244"/>
          <c:h val="0.245372557596966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USD as World Reserve Currency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reserves!$B$6</c:f>
              <c:strCache>
                <c:ptCount val="1"/>
                <c:pt idx="0">
                  <c:v>Advanced Economy Country Shares of U.S. dollars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reserves!$C$2:$AL$2</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reserves!$C$6:$AL$6</c:f>
              <c:numCache>
                <c:formatCode>General</c:formatCode>
                <c:ptCount val="36"/>
                <c:pt idx="0">
                  <c:v>58.483056268564617</c:v>
                </c:pt>
                <c:pt idx="1">
                  <c:v>60.504323060196796</c:v>
                </c:pt>
                <c:pt idx="2">
                  <c:v>59.413651289571845</c:v>
                </c:pt>
                <c:pt idx="3">
                  <c:v>60.874109679922896</c:v>
                </c:pt>
                <c:pt idx="4">
                  <c:v>61.974481814626515</c:v>
                </c:pt>
                <c:pt idx="5">
                  <c:v>54.36787112400372</c:v>
                </c:pt>
                <c:pt idx="6">
                  <c:v>56.4794017565332</c:v>
                </c:pt>
                <c:pt idx="7">
                  <c:v>55.474620209772262</c:v>
                </c:pt>
                <c:pt idx="8">
                  <c:v>55.478908667518077</c:v>
                </c:pt>
                <c:pt idx="9">
                  <c:v>49.470083361405145</c:v>
                </c:pt>
                <c:pt idx="10">
                  <c:v>45.716549827426519</c:v>
                </c:pt>
                <c:pt idx="11">
                  <c:v>43.593080871533282</c:v>
                </c:pt>
                <c:pt idx="12">
                  <c:v>51.069351165926236</c:v>
                </c:pt>
                <c:pt idx="13">
                  <c:v>52.782987680060408</c:v>
                </c:pt>
                <c:pt idx="14">
                  <c:v>53.73280880369802</c:v>
                </c:pt>
                <c:pt idx="15">
                  <c:v>53.892915546626263</c:v>
                </c:pt>
                <c:pt idx="16">
                  <c:v>57.636271941285379</c:v>
                </c:pt>
                <c:pt idx="17">
                  <c:v>61.03071395897787</c:v>
                </c:pt>
                <c:pt idx="18">
                  <c:v>66.892559014068425</c:v>
                </c:pt>
                <c:pt idx="19">
                  <c:v>69.81925917019916</c:v>
                </c:pt>
                <c:pt idx="20">
                  <c:v>69.727393706584536</c:v>
                </c:pt>
                <c:pt idx="21">
                  <c:v>70.559122852850948</c:v>
                </c:pt>
                <c:pt idx="22">
                  <c:v>66.296702050800974</c:v>
                </c:pt>
                <c:pt idx="23">
                  <c:v>66.967191218045087</c:v>
                </c:pt>
                <c:pt idx="24">
                  <c:v>67.114591733951841</c:v>
                </c:pt>
                <c:pt idx="25">
                  <c:v>69.021729000447749</c:v>
                </c:pt>
                <c:pt idx="26">
                  <c:v>67.871173886163859</c:v>
                </c:pt>
                <c:pt idx="27">
                  <c:v>65.607530073336065</c:v>
                </c:pt>
                <c:pt idx="28">
                  <c:v>66.774464869171382</c:v>
                </c:pt>
                <c:pt idx="29">
                  <c:v>64.790596326750517</c:v>
                </c:pt>
                <c:pt idx="30">
                  <c:v>64.675457536094271</c:v>
                </c:pt>
                <c:pt idx="31">
                  <c:v>65.978321317155704</c:v>
                </c:pt>
                <c:pt idx="32">
                  <c:v>62.311712204945721</c:v>
                </c:pt>
                <c:pt idx="33">
                  <c:v>61.629422889755567</c:v>
                </c:pt>
                <c:pt idx="34">
                  <c:v>63.602797424211424</c:v>
                </c:pt>
                <c:pt idx="35">
                  <c:v>64.40154369867949</c:v>
                </c:pt>
              </c:numCache>
            </c:numRef>
          </c:val>
          <c:smooth val="0"/>
          <c:extLst>
            <c:ext xmlns:c16="http://schemas.microsoft.com/office/drawing/2014/chart" uri="{C3380CC4-5D6E-409C-BE32-E72D297353CC}">
              <c16:uniqueId val="{00000000-1ABB-4811-BA38-85BF2E43BAAF}"/>
            </c:ext>
          </c:extLst>
        </c:ser>
        <c:ser>
          <c:idx val="7"/>
          <c:order val="7"/>
          <c:tx>
            <c:strRef>
              <c:f>reserves!$B$10</c:f>
              <c:strCache>
                <c:ptCount val="1"/>
                <c:pt idx="0">
                  <c:v>Emerging and Developing Country Shares of U.S. dollars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reserves!$C$2:$AL$2</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reserves!$C$10:$AL$10</c:f>
              <c:numCache>
                <c:formatCode>General</c:formatCode>
                <c:ptCount val="36"/>
                <c:pt idx="0">
                  <c:v>56.065651496737814</c:v>
                </c:pt>
                <c:pt idx="1">
                  <c:v>63.346660119332689</c:v>
                </c:pt>
                <c:pt idx="2">
                  <c:v>61.254671223468712</c:v>
                </c:pt>
                <c:pt idx="3">
                  <c:v>65.263913489638881</c:v>
                </c:pt>
                <c:pt idx="4">
                  <c:v>69.369571560024241</c:v>
                </c:pt>
                <c:pt idx="5">
                  <c:v>64.908511265100003</c:v>
                </c:pt>
                <c:pt idx="6">
                  <c:v>63.775020823065596</c:v>
                </c:pt>
                <c:pt idx="7">
                  <c:v>50.766352703481033</c:v>
                </c:pt>
                <c:pt idx="8">
                  <c:v>53.339243805075029</c:v>
                </c:pt>
                <c:pt idx="9">
                  <c:v>67.345686771490165</c:v>
                </c:pt>
                <c:pt idx="10">
                  <c:v>60.243910743027406</c:v>
                </c:pt>
                <c:pt idx="11">
                  <c:v>60.159211992113391</c:v>
                </c:pt>
                <c:pt idx="12">
                  <c:v>59.155597111371549</c:v>
                </c:pt>
                <c:pt idx="13">
                  <c:v>62.227557070839403</c:v>
                </c:pt>
                <c:pt idx="14">
                  <c:v>59.770123260867379</c:v>
                </c:pt>
                <c:pt idx="15">
                  <c:v>73.539187015524348</c:v>
                </c:pt>
                <c:pt idx="16">
                  <c:v>74.650089807027754</c:v>
                </c:pt>
                <c:pt idx="17">
                  <c:v>75.444779103666221</c:v>
                </c:pt>
                <c:pt idx="18">
                  <c:v>75.510527814220723</c:v>
                </c:pt>
                <c:pt idx="19">
                  <c:v>74.311711885358577</c:v>
                </c:pt>
                <c:pt idx="20">
                  <c:v>74.941498432892757</c:v>
                </c:pt>
                <c:pt idx="21">
                  <c:v>73.937953215467275</c:v>
                </c:pt>
                <c:pt idx="22">
                  <c:v>67.017530494531044</c:v>
                </c:pt>
                <c:pt idx="23">
                  <c:v>61.832662596719516</c:v>
                </c:pt>
                <c:pt idx="24">
                  <c:v>61.899168254640379</c:v>
                </c:pt>
                <c:pt idx="25">
                  <c:v>61.959173806256153</c:v>
                </c:pt>
                <c:pt idx="26">
                  <c:v>60.760715207409987</c:v>
                </c:pt>
                <c:pt idx="27">
                  <c:v>61.913557661366944</c:v>
                </c:pt>
                <c:pt idx="28">
                  <c:v>60.402994893500242</c:v>
                </c:pt>
                <c:pt idx="29">
                  <c:v>58.888148931378993</c:v>
                </c:pt>
                <c:pt idx="30">
                  <c:v>59.261851284340771</c:v>
                </c:pt>
                <c:pt idx="31">
                  <c:v>58.598601978894479</c:v>
                </c:pt>
                <c:pt idx="32">
                  <c:v>60.459353549306314</c:v>
                </c:pt>
                <c:pt idx="33">
                  <c:v>60.77415295816003</c:v>
                </c:pt>
                <c:pt idx="34">
                  <c:v>66.72577540842039</c:v>
                </c:pt>
                <c:pt idx="35">
                  <c:v>67.693274160536106</c:v>
                </c:pt>
              </c:numCache>
            </c:numRef>
          </c:val>
          <c:smooth val="0"/>
          <c:extLst>
            <c:ext xmlns:c16="http://schemas.microsoft.com/office/drawing/2014/chart" uri="{C3380CC4-5D6E-409C-BE32-E72D297353CC}">
              <c16:uniqueId val="{00000001-1ABB-4811-BA38-85BF2E43BAAF}"/>
            </c:ext>
          </c:extLst>
        </c:ser>
        <c:dLbls>
          <c:showLegendKey val="0"/>
          <c:showVal val="0"/>
          <c:showCatName val="0"/>
          <c:showSerName val="0"/>
          <c:showPercent val="0"/>
          <c:showBubbleSize val="0"/>
        </c:dLbls>
        <c:marker val="1"/>
        <c:smooth val="0"/>
        <c:axId val="427160752"/>
        <c:axId val="427161144"/>
        <c:extLst>
          <c:ext xmlns:c15="http://schemas.microsoft.com/office/drawing/2012/chart" uri="{02D57815-91ED-43cb-92C2-25804820EDAC}">
            <c15:filteredLineSeries>
              <c15:ser>
                <c:idx val="0"/>
                <c:order val="0"/>
                <c:tx>
                  <c:strRef>
                    <c:extLst>
                      <c:ext uri="{02D57815-91ED-43cb-92C2-25804820EDAC}">
                        <c15:formulaRef>
                          <c15:sqref>reserves!$B$3</c15:sqref>
                        </c15:formulaRef>
                      </c:ext>
                    </c:extLst>
                    <c:strCache>
                      <c:ptCount val="1"/>
                      <c:pt idx="0">
                        <c:v>Total Reserves Advanced Economies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reserves!$C$2:$AL$2</c15:sqref>
                        </c15:formulaRef>
                      </c:ext>
                    </c:extLst>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extLst>
                      <c:ext uri="{02D57815-91ED-43cb-92C2-25804820EDAC}">
                        <c15:formulaRef>
                          <c15:sqref>reserves!$C$3:$AL$3</c15:sqref>
                        </c15:formulaRef>
                      </c:ext>
                    </c:extLst>
                    <c:numCache>
                      <c:formatCode>General</c:formatCode>
                      <c:ptCount val="36"/>
                      <c:pt idx="0">
                        <c:v>228396.13498884375</c:v>
                      </c:pt>
                      <c:pt idx="1">
                        <c:v>209536.93133882553</c:v>
                      </c:pt>
                      <c:pt idx="2">
                        <c:v>195235.8498735902</c:v>
                      </c:pt>
                      <c:pt idx="3">
                        <c:v>205323.30079999985</c:v>
                      </c:pt>
                      <c:pt idx="4">
                        <c:v>214891.603202553</c:v>
                      </c:pt>
                      <c:pt idx="5">
                        <c:v>251175.94369144199</c:v>
                      </c:pt>
                      <c:pt idx="6">
                        <c:v>328339.16667165345</c:v>
                      </c:pt>
                      <c:pt idx="7">
                        <c:v>511232.85653874103</c:v>
                      </c:pt>
                      <c:pt idx="8">
                        <c:v>534659.43419354002</c:v>
                      </c:pt>
                      <c:pt idx="9">
                        <c:v>569729.32751634298</c:v>
                      </c:pt>
                      <c:pt idx="10">
                        <c:v>684277.66884441173</c:v>
                      </c:pt>
                      <c:pt idx="11">
                        <c:v>683689.88190073683</c:v>
                      </c:pt>
                      <c:pt idx="12">
                        <c:v>673920.62386941363</c:v>
                      </c:pt>
                      <c:pt idx="13">
                        <c:v>723974.08777721599</c:v>
                      </c:pt>
                      <c:pt idx="14">
                        <c:v>822652.61067513062</c:v>
                      </c:pt>
                      <c:pt idx="15">
                        <c:v>935656.61475789105</c:v>
                      </c:pt>
                      <c:pt idx="16">
                        <c:v>1020220.9783541714</c:v>
                      </c:pt>
                      <c:pt idx="17">
                        <c:v>1014298.4825619059</c:v>
                      </c:pt>
                      <c:pt idx="18">
                        <c:v>1027113.8192472076</c:v>
                      </c:pt>
                      <c:pt idx="19">
                        <c:v>1126703.2680029545</c:v>
                      </c:pt>
                      <c:pt idx="20">
                        <c:v>1222509.1995996202</c:v>
                      </c:pt>
                      <c:pt idx="21">
                        <c:v>1252612.6929394549</c:v>
                      </c:pt>
                      <c:pt idx="22">
                        <c:v>1450485.2307274099</c:v>
                      </c:pt>
                      <c:pt idx="23">
                        <c:v>1775880.6412395856</c:v>
                      </c:pt>
                      <c:pt idx="24">
                        <c:v>2081409.4745318447</c:v>
                      </c:pt>
                      <c:pt idx="25">
                        <c:v>2091131.4813341252</c:v>
                      </c:pt>
                      <c:pt idx="26">
                        <c:v>2271671.0939415083</c:v>
                      </c:pt>
                      <c:pt idx="27">
                        <c:v>2458547.3911612174</c:v>
                      </c:pt>
                      <c:pt idx="28">
                        <c:v>2518432.38301695</c:v>
                      </c:pt>
                      <c:pt idx="29">
                        <c:v>2809626.7568405159</c:v>
                      </c:pt>
                      <c:pt idx="30">
                        <c:v>3129125.8875307641</c:v>
                      </c:pt>
                      <c:pt idx="31">
                        <c:v>3446222.0176795959</c:v>
                      </c:pt>
                      <c:pt idx="32">
                        <c:v>3723273.4639678956</c:v>
                      </c:pt>
                      <c:pt idx="33">
                        <c:v>3841846.4055347699</c:v>
                      </c:pt>
                      <c:pt idx="34">
                        <c:v>3876138.1331884703</c:v>
                      </c:pt>
                      <c:pt idx="35">
                        <c:v>3946097.2514586374</c:v>
                      </c:pt>
                    </c:numCache>
                  </c:numRef>
                </c:val>
                <c:smooth val="0"/>
                <c:extLst>
                  <c:ext xmlns:c16="http://schemas.microsoft.com/office/drawing/2014/chart" uri="{C3380CC4-5D6E-409C-BE32-E72D297353CC}">
                    <c16:uniqueId val="{00000004-1ABB-4811-BA38-85BF2E43BAAF}"/>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reserves!$B$4</c15:sqref>
                        </c15:formulaRef>
                      </c:ext>
                    </c:extLst>
                    <c:strCache>
                      <c:ptCount val="1"/>
                      <c:pt idx="0">
                        <c:v>Allocated Reserves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reserves!$C$2:$AL$2</c15:sqref>
                        </c15:formulaRef>
                      </c:ext>
                    </c:extLst>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extLst xmlns:c15="http://schemas.microsoft.com/office/drawing/2012/chart">
                      <c:ext xmlns:c15="http://schemas.microsoft.com/office/drawing/2012/chart" uri="{02D57815-91ED-43cb-92C2-25804820EDAC}">
                        <c15:formulaRef>
                          <c15:sqref>reserves!$C$4:$AL$4</c15:sqref>
                        </c15:formulaRef>
                      </c:ext>
                    </c:extLst>
                    <c:numCache>
                      <c:formatCode>General</c:formatCode>
                      <c:ptCount val="36"/>
                      <c:pt idx="0">
                        <c:v>185871.1</c:v>
                      </c:pt>
                      <c:pt idx="1">
                        <c:v>166849.4</c:v>
                      </c:pt>
                      <c:pt idx="2">
                        <c:v>156835</c:v>
                      </c:pt>
                      <c:pt idx="3">
                        <c:v>159774</c:v>
                      </c:pt>
                      <c:pt idx="4">
                        <c:v>163648</c:v>
                      </c:pt>
                      <c:pt idx="5">
                        <c:v>177535</c:v>
                      </c:pt>
                      <c:pt idx="6">
                        <c:v>223053</c:v>
                      </c:pt>
                      <c:pt idx="7">
                        <c:v>375292.7</c:v>
                      </c:pt>
                      <c:pt idx="8">
                        <c:v>398943.5</c:v>
                      </c:pt>
                      <c:pt idx="9">
                        <c:v>421538</c:v>
                      </c:pt>
                      <c:pt idx="10">
                        <c:v>493413</c:v>
                      </c:pt>
                      <c:pt idx="11">
                        <c:v>499546.73</c:v>
                      </c:pt>
                      <c:pt idx="12">
                        <c:v>460615.76</c:v>
                      </c:pt>
                      <c:pt idx="13">
                        <c:v>562234.9</c:v>
                      </c:pt>
                      <c:pt idx="14">
                        <c:v>660201.65500000003</c:v>
                      </c:pt>
                      <c:pt idx="15">
                        <c:v>768304.13199999998</c:v>
                      </c:pt>
                      <c:pt idx="16">
                        <c:v>912934.89199999999</c:v>
                      </c:pt>
                      <c:pt idx="17">
                        <c:v>913980.48100000003</c:v>
                      </c:pt>
                      <c:pt idx="18">
                        <c:v>927308.97</c:v>
                      </c:pt>
                      <c:pt idx="19">
                        <c:v>1012801.7350452017</c:v>
                      </c:pt>
                      <c:pt idx="20">
                        <c:v>1110027.86525973</c:v>
                      </c:pt>
                      <c:pt idx="21">
                        <c:v>1125853.8423727173</c:v>
                      </c:pt>
                      <c:pt idx="22">
                        <c:v>1286313.9082242378</c:v>
                      </c:pt>
                      <c:pt idx="23">
                        <c:v>1566040.788000525</c:v>
                      </c:pt>
                      <c:pt idx="24">
                        <c:v>1836416.2281537503</c:v>
                      </c:pt>
                      <c:pt idx="25">
                        <c:v>1834103.4604245874</c:v>
                      </c:pt>
                      <c:pt idx="26">
                        <c:v>2001253.1699308907</c:v>
                      </c:pt>
                      <c:pt idx="27">
                        <c:v>2183236.1930204714</c:v>
                      </c:pt>
                      <c:pt idx="28">
                        <c:v>2224699.0721096429</c:v>
                      </c:pt>
                      <c:pt idx="29">
                        <c:v>2459520.9784673192</c:v>
                      </c:pt>
                      <c:pt idx="30">
                        <c:v>2745346.4087142539</c:v>
                      </c:pt>
                      <c:pt idx="31">
                        <c:v>3060012.77857925</c:v>
                      </c:pt>
                      <c:pt idx="32">
                        <c:v>3313820.1783245723</c:v>
                      </c:pt>
                      <c:pt idx="33">
                        <c:v>3423659.5198710035</c:v>
                      </c:pt>
                      <c:pt idx="34">
                        <c:v>3453364.5429452062</c:v>
                      </c:pt>
                      <c:pt idx="35">
                        <c:v>3526053.0807509539</c:v>
                      </c:pt>
                    </c:numCache>
                  </c:numRef>
                </c:val>
                <c:smooth val="0"/>
                <c:extLst xmlns:c15="http://schemas.microsoft.com/office/drawing/2012/chart">
                  <c:ext xmlns:c16="http://schemas.microsoft.com/office/drawing/2014/chart" uri="{C3380CC4-5D6E-409C-BE32-E72D297353CC}">
                    <c16:uniqueId val="{00000005-1ABB-4811-BA38-85BF2E43BAA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reserves!$B$7</c15:sqref>
                        </c15:formulaRef>
                      </c:ext>
                    </c:extLst>
                    <c:strCache>
                      <c:ptCount val="1"/>
                      <c:pt idx="0">
                        <c:v>Total Reserves Emerging and Developing Countries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reserves!$C$2:$AL$2</c15:sqref>
                        </c15:formulaRef>
                      </c:ext>
                    </c:extLst>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extLst xmlns:c15="http://schemas.microsoft.com/office/drawing/2012/chart">
                      <c:ext xmlns:c15="http://schemas.microsoft.com/office/drawing/2012/chart" uri="{02D57815-91ED-43cb-92C2-25804820EDAC}">
                        <c15:formulaRef>
                          <c15:sqref>reserves!$C$7:$AL$7</c15:sqref>
                        </c15:formulaRef>
                      </c:ext>
                    </c:extLst>
                    <c:numCache>
                      <c:formatCode>General</c:formatCode>
                      <c:ptCount val="36"/>
                      <c:pt idx="0">
                        <c:v>142859.38171515169</c:v>
                      </c:pt>
                      <c:pt idx="1">
                        <c:v>129119.19986840748</c:v>
                      </c:pt>
                      <c:pt idx="2">
                        <c:v>117364.25842038673</c:v>
                      </c:pt>
                      <c:pt idx="3">
                        <c:v>116441.07009718513</c:v>
                      </c:pt>
                      <c:pt idx="4">
                        <c:v>126806.751497062</c:v>
                      </c:pt>
                      <c:pt idx="5">
                        <c:v>130650.45313764822</c:v>
                      </c:pt>
                      <c:pt idx="6">
                        <c:v>116111.29384773361</c:v>
                      </c:pt>
                      <c:pt idx="7">
                        <c:v>135799.16434500183</c:v>
                      </c:pt>
                      <c:pt idx="8">
                        <c:v>130877.572158651</c:v>
                      </c:pt>
                      <c:pt idx="9">
                        <c:v>147116.00794843084</c:v>
                      </c:pt>
                      <c:pt idx="10">
                        <c:v>186020.85032892099</c:v>
                      </c:pt>
                      <c:pt idx="11">
                        <c:v>242330.42668916119</c:v>
                      </c:pt>
                      <c:pt idx="12">
                        <c:v>253960.35405438629</c:v>
                      </c:pt>
                      <c:pt idx="13">
                        <c:v>309440.76065002428</c:v>
                      </c:pt>
                      <c:pt idx="14">
                        <c:v>364050.10844910145</c:v>
                      </c:pt>
                      <c:pt idx="15">
                        <c:v>454144.47625126503</c:v>
                      </c:pt>
                      <c:pt idx="16">
                        <c:v>546047.36605104059</c:v>
                      </c:pt>
                      <c:pt idx="17">
                        <c:v>601949.660928756</c:v>
                      </c:pt>
                      <c:pt idx="18">
                        <c:v>616710.94276936806</c:v>
                      </c:pt>
                      <c:pt idx="19">
                        <c:v>655244.72168994078</c:v>
                      </c:pt>
                      <c:pt idx="20">
                        <c:v>713563.5903438984</c:v>
                      </c:pt>
                      <c:pt idx="21">
                        <c:v>796829.11548878008</c:v>
                      </c:pt>
                      <c:pt idx="22">
                        <c:v>957287.97316769802</c:v>
                      </c:pt>
                      <c:pt idx="23">
                        <c:v>1249003.6001224576</c:v>
                      </c:pt>
                      <c:pt idx="24">
                        <c:v>1667088.98262841</c:v>
                      </c:pt>
                      <c:pt idx="25">
                        <c:v>2229177.3196380297</c:v>
                      </c:pt>
                      <c:pt idx="26">
                        <c:v>2981842.1470197965</c:v>
                      </c:pt>
                      <c:pt idx="27">
                        <c:v>4246702.4462568071</c:v>
                      </c:pt>
                      <c:pt idx="28">
                        <c:v>4828369.8844810594</c:v>
                      </c:pt>
                      <c:pt idx="29">
                        <c:v>5355642.5725741051</c:v>
                      </c:pt>
                      <c:pt idx="30">
                        <c:v>6136304.7071477333</c:v>
                      </c:pt>
                      <c:pt idx="31">
                        <c:v>6759967.3021519603</c:v>
                      </c:pt>
                      <c:pt idx="32">
                        <c:v>7229784.4411349548</c:v>
                      </c:pt>
                      <c:pt idx="33">
                        <c:v>7843698.0032339999</c:v>
                      </c:pt>
                      <c:pt idx="34">
                        <c:v>7715821.7902333727</c:v>
                      </c:pt>
                      <c:pt idx="35">
                        <c:v>7489701.0038016699</c:v>
                      </c:pt>
                    </c:numCache>
                  </c:numRef>
                </c:val>
                <c:smooth val="0"/>
                <c:extLst xmlns:c15="http://schemas.microsoft.com/office/drawing/2012/chart">
                  <c:ext xmlns:c16="http://schemas.microsoft.com/office/drawing/2014/chart" uri="{C3380CC4-5D6E-409C-BE32-E72D297353CC}">
                    <c16:uniqueId val="{00000006-1ABB-4811-BA38-85BF2E43BAA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reserves!$B$8</c15:sqref>
                        </c15:formulaRef>
                      </c:ext>
                    </c:extLst>
                    <c:strCache>
                      <c:ptCount val="1"/>
                      <c:pt idx="0">
                        <c:v>Allocated Reserves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reserves!$C$2:$AL$2</c15:sqref>
                        </c15:formulaRef>
                      </c:ext>
                    </c:extLst>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extLst xmlns:c15="http://schemas.microsoft.com/office/drawing/2012/chart">
                      <c:ext xmlns:c15="http://schemas.microsoft.com/office/drawing/2012/chart" uri="{02D57815-91ED-43cb-92C2-25804820EDAC}">
                        <c15:formulaRef>
                          <c15:sqref>reserves!$C$8:$AL$8</c15:sqref>
                        </c15:formulaRef>
                      </c:ext>
                    </c:extLst>
                    <c:numCache>
                      <c:formatCode>General</c:formatCode>
                      <c:ptCount val="36"/>
                      <c:pt idx="0">
                        <c:v>70415.271999999997</c:v>
                      </c:pt>
                      <c:pt idx="1">
                        <c:v>52746.150999999998</c:v>
                      </c:pt>
                      <c:pt idx="2">
                        <c:v>49032.925000000003</c:v>
                      </c:pt>
                      <c:pt idx="3">
                        <c:v>47672.44</c:v>
                      </c:pt>
                      <c:pt idx="4">
                        <c:v>44557</c:v>
                      </c:pt>
                      <c:pt idx="5">
                        <c:v>52546.36</c:v>
                      </c:pt>
                      <c:pt idx="6">
                        <c:v>47519.42</c:v>
                      </c:pt>
                      <c:pt idx="7">
                        <c:v>44030.64</c:v>
                      </c:pt>
                      <c:pt idx="8">
                        <c:v>42455.72</c:v>
                      </c:pt>
                      <c:pt idx="9">
                        <c:v>53302.3</c:v>
                      </c:pt>
                      <c:pt idx="10">
                        <c:v>53456.44</c:v>
                      </c:pt>
                      <c:pt idx="11">
                        <c:v>85816.4</c:v>
                      </c:pt>
                      <c:pt idx="12">
                        <c:v>84398.519190000006</c:v>
                      </c:pt>
                      <c:pt idx="13">
                        <c:v>111074.14208999999</c:v>
                      </c:pt>
                      <c:pt idx="14">
                        <c:v>164548.77262800001</c:v>
                      </c:pt>
                      <c:pt idx="15">
                        <c:v>266898.770372</c:v>
                      </c:pt>
                      <c:pt idx="16">
                        <c:v>313274.64789999998</c:v>
                      </c:pt>
                      <c:pt idx="17">
                        <c:v>359306.86420000001</c:v>
                      </c:pt>
                      <c:pt idx="18">
                        <c:v>355477.92722646135</c:v>
                      </c:pt>
                      <c:pt idx="19">
                        <c:v>366903.19861800002</c:v>
                      </c:pt>
                      <c:pt idx="20">
                        <c:v>408215.7191177627</c:v>
                      </c:pt>
                      <c:pt idx="21">
                        <c:v>443998.9658137568</c:v>
                      </c:pt>
                      <c:pt idx="22">
                        <c:v>509511.80239840265</c:v>
                      </c:pt>
                      <c:pt idx="23">
                        <c:v>656951.92853522731</c:v>
                      </c:pt>
                      <c:pt idx="24">
                        <c:v>818540.67411334091</c:v>
                      </c:pt>
                      <c:pt idx="25">
                        <c:v>1009384.1491354381</c:v>
                      </c:pt>
                      <c:pt idx="26">
                        <c:v>1320584.9910988775</c:v>
                      </c:pt>
                      <c:pt idx="27">
                        <c:v>1939054.7764023701</c:v>
                      </c:pt>
                      <c:pt idx="28">
                        <c:v>1985385.0426525509</c:v>
                      </c:pt>
                      <c:pt idx="29">
                        <c:v>2131180.2268559276</c:v>
                      </c:pt>
                      <c:pt idx="30">
                        <c:v>2418002.368336645</c:v>
                      </c:pt>
                      <c:pt idx="31">
                        <c:v>2594336.501750458</c:v>
                      </c:pt>
                      <c:pt idx="32">
                        <c:v>2774482.5844571926</c:v>
                      </c:pt>
                      <c:pt idx="33">
                        <c:v>2802763.9305483955</c:v>
                      </c:pt>
                      <c:pt idx="34">
                        <c:v>3349189.9052445963</c:v>
                      </c:pt>
                      <c:pt idx="35">
                        <c:v>3222048.6909373398</c:v>
                      </c:pt>
                    </c:numCache>
                  </c:numRef>
                </c:val>
                <c:smooth val="0"/>
                <c:extLst xmlns:c15="http://schemas.microsoft.com/office/drawing/2012/chart">
                  <c:ext xmlns:c16="http://schemas.microsoft.com/office/drawing/2014/chart" uri="{C3380CC4-5D6E-409C-BE32-E72D297353CC}">
                    <c16:uniqueId val="{00000007-1ABB-4811-BA38-85BF2E43BAAF}"/>
                  </c:ext>
                </c:extLst>
              </c15:ser>
            </c15:filteredLineSeries>
          </c:ext>
        </c:extLst>
      </c:lineChart>
      <c:lineChart>
        <c:grouping val="standard"/>
        <c:varyColors val="0"/>
        <c:ser>
          <c:idx val="2"/>
          <c:order val="2"/>
          <c:tx>
            <c:strRef>
              <c:f>reserves!$B$5</c:f>
              <c:strCache>
                <c:ptCount val="1"/>
                <c:pt idx="0">
                  <c:v>USD Reserves Advanced Economies</c:v>
                </c:pt>
              </c:strCache>
            </c:strRef>
          </c:tx>
          <c:spPr>
            <a:ln w="28575" cap="rnd">
              <a:solidFill>
                <a:schemeClr val="accent3"/>
              </a:solidFill>
              <a:round/>
            </a:ln>
            <a:effectLst/>
          </c:spPr>
          <c:marker>
            <c:symbol val="none"/>
          </c:marker>
          <c:cat>
            <c:numRef>
              <c:f>reserves!$C$2:$AL$2</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reserves!$C$5:$AL$5</c:f>
              <c:numCache>
                <c:formatCode>General</c:formatCode>
                <c:ptCount val="36"/>
                <c:pt idx="0">
                  <c:v>108703.1</c:v>
                </c:pt>
                <c:pt idx="1">
                  <c:v>100951.1</c:v>
                </c:pt>
                <c:pt idx="2">
                  <c:v>93181.4</c:v>
                </c:pt>
                <c:pt idx="3">
                  <c:v>97261</c:v>
                </c:pt>
                <c:pt idx="4">
                  <c:v>101420</c:v>
                </c:pt>
                <c:pt idx="5">
                  <c:v>96522</c:v>
                </c:pt>
                <c:pt idx="6">
                  <c:v>125979</c:v>
                </c:pt>
                <c:pt idx="7">
                  <c:v>208192.2</c:v>
                </c:pt>
                <c:pt idx="8">
                  <c:v>221329.5</c:v>
                </c:pt>
                <c:pt idx="9">
                  <c:v>208535.2</c:v>
                </c:pt>
                <c:pt idx="10">
                  <c:v>225571.4</c:v>
                </c:pt>
                <c:pt idx="11">
                  <c:v>217767.81</c:v>
                </c:pt>
                <c:pt idx="12">
                  <c:v>235233.48</c:v>
                </c:pt>
                <c:pt idx="13">
                  <c:v>296764.37800000003</c:v>
                </c:pt>
                <c:pt idx="14">
                  <c:v>354744.89299999998</c:v>
                </c:pt>
                <c:pt idx="15">
                  <c:v>414061.49699999997</c:v>
                </c:pt>
                <c:pt idx="16">
                  <c:v>526181.63699999999</c:v>
                </c:pt>
                <c:pt idx="17">
                  <c:v>557808.81299999997</c:v>
                </c:pt>
                <c:pt idx="18">
                  <c:v>620300.69999999995</c:v>
                </c:pt>
                <c:pt idx="19">
                  <c:v>707130.66827148327</c:v>
                </c:pt>
                <c:pt idx="20">
                  <c:v>773993.49986244761</c:v>
                </c:pt>
                <c:pt idx="21">
                  <c:v>794392.5957833085</c:v>
                </c:pt>
                <c:pt idx="22">
                  <c:v>852783.69917343638</c:v>
                </c:pt>
                <c:pt idx="23">
                  <c:v>1048733.5290528915</c:v>
                </c:pt>
                <c:pt idx="24">
                  <c:v>1232503.254061427</c:v>
                </c:pt>
                <c:pt idx="25">
                  <c:v>1265929.9200420934</c:v>
                </c:pt>
                <c:pt idx="26">
                  <c:v>1358274.0188661611</c:v>
                </c:pt>
                <c:pt idx="27">
                  <c:v>1432367.341907863</c:v>
                </c:pt>
                <c:pt idx="28">
                  <c:v>1485530.9003506352</c:v>
                </c:pt>
                <c:pt idx="29">
                  <c:v>1593538.3087305054</c:v>
                </c:pt>
                <c:pt idx="30">
                  <c:v>1775565.3507866764</c:v>
                </c:pt>
                <c:pt idx="31">
                  <c:v>2018945.0633970415</c:v>
                </c:pt>
                <c:pt idx="32">
                  <c:v>2064898.0925070266</c:v>
                </c:pt>
                <c:pt idx="33">
                  <c:v>2109981.6038066759</c:v>
                </c:pt>
                <c:pt idx="34">
                  <c:v>2196436.454568984</c:v>
                </c:pt>
                <c:pt idx="35">
                  <c:v>2270832.61563846</c:v>
                </c:pt>
              </c:numCache>
            </c:numRef>
          </c:val>
          <c:smooth val="0"/>
          <c:extLst>
            <c:ext xmlns:c16="http://schemas.microsoft.com/office/drawing/2014/chart" uri="{C3380CC4-5D6E-409C-BE32-E72D297353CC}">
              <c16:uniqueId val="{00000002-1ABB-4811-BA38-85BF2E43BAAF}"/>
            </c:ext>
          </c:extLst>
        </c:ser>
        <c:ser>
          <c:idx val="6"/>
          <c:order val="6"/>
          <c:tx>
            <c:strRef>
              <c:f>reserves!$B$9</c:f>
              <c:strCache>
                <c:ptCount val="1"/>
                <c:pt idx="0">
                  <c:v>USD Reserves Emerging and Developing Countries</c:v>
                </c:pt>
              </c:strCache>
            </c:strRef>
          </c:tx>
          <c:spPr>
            <a:ln w="28575" cap="rnd">
              <a:solidFill>
                <a:schemeClr val="accent1">
                  <a:lumMod val="60000"/>
                </a:schemeClr>
              </a:solidFill>
              <a:round/>
            </a:ln>
            <a:effectLst/>
          </c:spPr>
          <c:marker>
            <c:symbol val="none"/>
          </c:marker>
          <c:cat>
            <c:numRef>
              <c:f>reserves!$C$2:$AL$2</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reserves!$C$9:$AL$9</c:f>
              <c:numCache>
                <c:formatCode>General</c:formatCode>
                <c:ptCount val="36"/>
                <c:pt idx="0">
                  <c:v>39478.781000000003</c:v>
                </c:pt>
                <c:pt idx="1">
                  <c:v>33412.925000000003</c:v>
                </c:pt>
                <c:pt idx="2">
                  <c:v>30034.956999999999</c:v>
                </c:pt>
                <c:pt idx="3">
                  <c:v>31112.9</c:v>
                </c:pt>
                <c:pt idx="4">
                  <c:v>30909</c:v>
                </c:pt>
                <c:pt idx="5">
                  <c:v>34107.06</c:v>
                </c:pt>
                <c:pt idx="6">
                  <c:v>30305.52</c:v>
                </c:pt>
                <c:pt idx="7">
                  <c:v>22352.75</c:v>
                </c:pt>
                <c:pt idx="8">
                  <c:v>22645.56</c:v>
                </c:pt>
                <c:pt idx="9">
                  <c:v>35896.800000000003</c:v>
                </c:pt>
                <c:pt idx="10">
                  <c:v>32204.25</c:v>
                </c:pt>
                <c:pt idx="11">
                  <c:v>51626.47</c:v>
                </c:pt>
                <c:pt idx="12">
                  <c:v>49926.447979999997</c:v>
                </c:pt>
                <c:pt idx="13">
                  <c:v>69118.725160000002</c:v>
                </c:pt>
                <c:pt idx="14">
                  <c:v>98351.004224000004</c:v>
                </c:pt>
                <c:pt idx="15">
                  <c:v>196275.18588599999</c:v>
                </c:pt>
                <c:pt idx="16">
                  <c:v>233859.80600000001</c:v>
                </c:pt>
                <c:pt idx="17">
                  <c:v>271078.27</c:v>
                </c:pt>
                <c:pt idx="18">
                  <c:v>268423.25911175244</c:v>
                </c:pt>
                <c:pt idx="19">
                  <c:v>272652.04785517312</c:v>
                </c:pt>
                <c:pt idx="20">
                  <c:v>305922.97674546001</c:v>
                </c:pt>
                <c:pt idx="21">
                  <c:v>328283.74762053404</c:v>
                </c:pt>
                <c:pt idx="22">
                  <c:v>341462.2275455842</c:v>
                </c:pt>
                <c:pt idx="23">
                  <c:v>406210.86939382897</c:v>
                </c:pt>
                <c:pt idx="24">
                  <c:v>506669.86910208449</c:v>
                </c:pt>
                <c:pt idx="25">
                  <c:v>625406.07933562587</c:v>
                </c:pt>
                <c:pt idx="26">
                  <c:v>802396.88551338948</c:v>
                </c:pt>
                <c:pt idx="27">
                  <c:v>1200537.7970733712</c:v>
                </c:pt>
                <c:pt idx="28">
                  <c:v>1199232.0259297378</c:v>
                </c:pt>
                <c:pt idx="29">
                  <c:v>1255012.5859870194</c:v>
                </c:pt>
                <c:pt idx="30">
                  <c:v>1432952.9675755003</c:v>
                </c:pt>
                <c:pt idx="31">
                  <c:v>1520244.9206539257</c:v>
                </c:pt>
                <c:pt idx="32">
                  <c:v>1677434.2349009051</c:v>
                </c:pt>
                <c:pt idx="33">
                  <c:v>1703356.0382076201</c:v>
                </c:pt>
                <c:pt idx="34">
                  <c:v>2234772.9341749973</c:v>
                </c:pt>
                <c:pt idx="35">
                  <c:v>2181110.2539421781</c:v>
                </c:pt>
              </c:numCache>
            </c:numRef>
          </c:val>
          <c:smooth val="0"/>
          <c:extLst>
            <c:ext xmlns:c16="http://schemas.microsoft.com/office/drawing/2014/chart" uri="{C3380CC4-5D6E-409C-BE32-E72D297353CC}">
              <c16:uniqueId val="{00000003-1ABB-4811-BA38-85BF2E43BAAF}"/>
            </c:ext>
          </c:extLst>
        </c:ser>
        <c:dLbls>
          <c:showLegendKey val="0"/>
          <c:showVal val="0"/>
          <c:showCatName val="0"/>
          <c:showSerName val="0"/>
          <c:showPercent val="0"/>
          <c:showBubbleSize val="0"/>
        </c:dLbls>
        <c:marker val="1"/>
        <c:smooth val="0"/>
        <c:axId val="433898160"/>
        <c:axId val="433899336"/>
      </c:lineChart>
      <c:catAx>
        <c:axId val="427160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Source:</a:t>
                </a:r>
                <a:r>
                  <a:rPr lang="en-US" baseline="0"/>
                  <a:t> International Monetary Fund</a:t>
                </a:r>
                <a:endParaRPr lang="en-US"/>
              </a:p>
            </c:rich>
          </c:tx>
          <c:layout>
            <c:manualLayout>
              <c:xMode val="edge"/>
              <c:yMode val="edge"/>
              <c:x val="0.24510411198600174"/>
              <c:y val="0.92448915556943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161144"/>
        <c:crosses val="autoZero"/>
        <c:auto val="1"/>
        <c:lblAlgn val="ctr"/>
        <c:lblOffset val="100"/>
        <c:noMultiLvlLbl val="0"/>
      </c:catAx>
      <c:valAx>
        <c:axId val="427161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USD</a:t>
                </a:r>
                <a:r>
                  <a:rPr lang="en-US" baseline="0"/>
                  <a:t> S</a:t>
                </a:r>
                <a:r>
                  <a:rPr lang="en-US"/>
                  <a:t>hare</a:t>
                </a:r>
                <a:r>
                  <a:rPr lang="en-US" baseline="0"/>
                  <a:t> of Reserves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160752"/>
        <c:crosses val="autoZero"/>
        <c:crossBetween val="between"/>
      </c:valAx>
      <c:valAx>
        <c:axId val="4338993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Millions US</a:t>
                </a:r>
                <a:r>
                  <a:rPr lang="en-US" baseline="0"/>
                  <a:t> Dollars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898160"/>
        <c:crosses val="max"/>
        <c:crossBetween val="between"/>
      </c:valAx>
      <c:catAx>
        <c:axId val="433898160"/>
        <c:scaling>
          <c:orientation val="minMax"/>
        </c:scaling>
        <c:delete val="1"/>
        <c:axPos val="b"/>
        <c:numFmt formatCode="General" sourceLinked="1"/>
        <c:majorTickMark val="out"/>
        <c:minorTickMark val="none"/>
        <c:tickLblPos val="nextTo"/>
        <c:crossAx val="433899336"/>
        <c:crosses val="autoZero"/>
        <c:auto val="1"/>
        <c:lblAlgn val="ctr"/>
        <c:lblOffset val="100"/>
        <c:noMultiLvlLbl val="0"/>
      </c:catAx>
      <c:spPr>
        <a:noFill/>
        <a:ln>
          <a:noFill/>
        </a:ln>
        <a:effectLst/>
      </c:spPr>
    </c:plotArea>
    <c:legend>
      <c:legendPos val="b"/>
      <c:layout>
        <c:manualLayout>
          <c:xMode val="edge"/>
          <c:yMode val="edge"/>
          <c:x val="9.2109580052493437E-2"/>
          <c:y val="0.62780456975455967"/>
          <c:w val="0.86300306211723543"/>
          <c:h val="0.30555774278215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China!$A$9</c:f>
              <c:strCache>
                <c:ptCount val="1"/>
                <c:pt idx="0">
                  <c:v>Treasury Holdings</c:v>
                </c:pt>
              </c:strCache>
            </c:strRef>
          </c:tx>
          <c:spPr>
            <a:ln w="28575" cap="rnd">
              <a:solidFill>
                <a:schemeClr val="accent1"/>
              </a:solidFill>
              <a:round/>
            </a:ln>
            <a:effectLst/>
          </c:spPr>
          <c:marker>
            <c:symbol val="none"/>
          </c:marker>
          <c:cat>
            <c:numRef>
              <c:f>China!$B$8:$T$8</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China!$B$9:$T$9</c:f>
              <c:numCache>
                <c:formatCode>General</c:formatCode>
                <c:ptCount val="19"/>
                <c:pt idx="1">
                  <c:v>71056</c:v>
                </c:pt>
                <c:pt idx="3">
                  <c:v>95200</c:v>
                </c:pt>
                <c:pt idx="4">
                  <c:v>146634</c:v>
                </c:pt>
                <c:pt idx="5">
                  <c:v>189181</c:v>
                </c:pt>
                <c:pt idx="6">
                  <c:v>277087</c:v>
                </c:pt>
                <c:pt idx="7">
                  <c:v>364065</c:v>
                </c:pt>
                <c:pt idx="8">
                  <c:v>466540</c:v>
                </c:pt>
                <c:pt idx="9">
                  <c:v>521912</c:v>
                </c:pt>
                <c:pt idx="10">
                  <c:v>757112</c:v>
                </c:pt>
                <c:pt idx="11">
                  <c:v>1108128</c:v>
                </c:pt>
                <c:pt idx="12">
                  <c:v>1302405</c:v>
                </c:pt>
                <c:pt idx="13">
                  <c:v>1138463</c:v>
                </c:pt>
                <c:pt idx="14">
                  <c:v>1272081</c:v>
                </c:pt>
                <c:pt idx="15">
                  <c:v>1260657</c:v>
                </c:pt>
                <c:pt idx="16">
                  <c:v>1267500</c:v>
                </c:pt>
                <c:pt idx="17">
                  <c:v>1238077</c:v>
                </c:pt>
                <c:pt idx="18">
                  <c:v>1144081</c:v>
                </c:pt>
              </c:numCache>
            </c:numRef>
          </c:val>
          <c:smooth val="0"/>
          <c:extLst>
            <c:ext xmlns:c16="http://schemas.microsoft.com/office/drawing/2014/chart" uri="{C3380CC4-5D6E-409C-BE32-E72D297353CC}">
              <c16:uniqueId val="{00000000-5F89-4F3C-AC11-BF83C0290E1F}"/>
            </c:ext>
          </c:extLst>
        </c:ser>
        <c:dLbls>
          <c:showLegendKey val="0"/>
          <c:showVal val="0"/>
          <c:showCatName val="0"/>
          <c:showSerName val="0"/>
          <c:showPercent val="0"/>
          <c:showBubbleSize val="0"/>
        </c:dLbls>
        <c:marker val="1"/>
        <c:smooth val="0"/>
        <c:axId val="344906312"/>
        <c:axId val="344907096"/>
      </c:lineChart>
      <c:lineChart>
        <c:grouping val="standard"/>
        <c:varyColors val="0"/>
        <c:ser>
          <c:idx val="1"/>
          <c:order val="1"/>
          <c:tx>
            <c:strRef>
              <c:f>China!$A$10</c:f>
              <c:strCache>
                <c:ptCount val="1"/>
                <c:pt idx="0">
                  <c:v>Trade Balance</c:v>
                </c:pt>
              </c:strCache>
            </c:strRef>
          </c:tx>
          <c:spPr>
            <a:ln w="28575" cap="rnd">
              <a:solidFill>
                <a:schemeClr val="accent2"/>
              </a:solidFill>
              <a:round/>
            </a:ln>
            <a:effectLst/>
          </c:spPr>
          <c:marker>
            <c:symbol val="none"/>
          </c:marker>
          <c:cat>
            <c:numRef>
              <c:f>China!$B$8:$T$8</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China!$B$10:$T$10</c:f>
              <c:numCache>
                <c:formatCode>General</c:formatCode>
                <c:ptCount val="19"/>
                <c:pt idx="0">
                  <c:v>67440</c:v>
                </c:pt>
                <c:pt idx="1">
                  <c:v>81969</c:v>
                </c:pt>
                <c:pt idx="2">
                  <c:v>81380</c:v>
                </c:pt>
                <c:pt idx="3">
                  <c:v>101870</c:v>
                </c:pt>
                <c:pt idx="4">
                  <c:v>122705</c:v>
                </c:pt>
                <c:pt idx="5">
                  <c:v>161505</c:v>
                </c:pt>
                <c:pt idx="6">
                  <c:v>200984</c:v>
                </c:pt>
                <c:pt idx="7">
                  <c:v>233995</c:v>
                </c:pt>
                <c:pt idx="8">
                  <c:v>257326</c:v>
                </c:pt>
                <c:pt idx="9">
                  <c:v>263313</c:v>
                </c:pt>
                <c:pt idx="10">
                  <c:v>219736</c:v>
                </c:pt>
                <c:pt idx="11">
                  <c:v>261176</c:v>
                </c:pt>
                <c:pt idx="12">
                  <c:v>278533</c:v>
                </c:pt>
                <c:pt idx="13">
                  <c:v>294938</c:v>
                </c:pt>
                <c:pt idx="14">
                  <c:v>295150</c:v>
                </c:pt>
                <c:pt idx="15">
                  <c:v>314669</c:v>
                </c:pt>
                <c:pt idx="16">
                  <c:v>333533</c:v>
                </c:pt>
                <c:pt idx="17">
                  <c:v>308363</c:v>
                </c:pt>
                <c:pt idx="18">
                  <c:v>335704</c:v>
                </c:pt>
              </c:numCache>
            </c:numRef>
          </c:val>
          <c:smooth val="0"/>
          <c:extLst>
            <c:ext xmlns:c16="http://schemas.microsoft.com/office/drawing/2014/chart" uri="{C3380CC4-5D6E-409C-BE32-E72D297353CC}">
              <c16:uniqueId val="{00000001-5F89-4F3C-AC11-BF83C0290E1F}"/>
            </c:ext>
          </c:extLst>
        </c:ser>
        <c:dLbls>
          <c:showLegendKey val="0"/>
          <c:showVal val="0"/>
          <c:showCatName val="0"/>
          <c:showSerName val="0"/>
          <c:showPercent val="0"/>
          <c:showBubbleSize val="0"/>
        </c:dLbls>
        <c:marker val="1"/>
        <c:smooth val="0"/>
        <c:axId val="403090992"/>
        <c:axId val="361327472"/>
      </c:lineChart>
      <c:catAx>
        <c:axId val="344906312"/>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07096"/>
        <c:crosses val="autoZero"/>
        <c:auto val="1"/>
        <c:lblAlgn val="ctr"/>
        <c:lblOffset val="100"/>
        <c:noMultiLvlLbl val="0"/>
      </c:catAx>
      <c:valAx>
        <c:axId val="344907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US Treasury Holdings, in Millions</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06312"/>
        <c:crosses val="autoZero"/>
        <c:crossBetween val="between"/>
      </c:valAx>
      <c:valAx>
        <c:axId val="3613274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Balance</a:t>
                </a:r>
                <a:r>
                  <a:rPr lang="en-US" baseline="0"/>
                  <a:t> of Trade, In Millions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090992"/>
        <c:crosses val="max"/>
        <c:crossBetween val="between"/>
      </c:valAx>
      <c:catAx>
        <c:axId val="403090992"/>
        <c:scaling>
          <c:orientation val="minMax"/>
        </c:scaling>
        <c:delete val="1"/>
        <c:axPos val="b"/>
        <c:numFmt formatCode="General" sourceLinked="1"/>
        <c:majorTickMark val="out"/>
        <c:minorTickMark val="none"/>
        <c:tickLblPos val="nextTo"/>
        <c:crossAx val="3613274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India!$A$2</c:f>
              <c:strCache>
                <c:ptCount val="1"/>
                <c:pt idx="0">
                  <c:v>Treasury Holdings</c:v>
                </c:pt>
              </c:strCache>
            </c:strRef>
          </c:tx>
          <c:spPr>
            <a:ln w="28575" cap="rnd">
              <a:solidFill>
                <a:schemeClr val="accent1"/>
              </a:solidFill>
              <a:round/>
            </a:ln>
            <a:effectLst/>
          </c:spPr>
          <c:marker>
            <c:symbol val="none"/>
          </c:marker>
          <c:cat>
            <c:numRef>
              <c:f>India!$B$1:$T$1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India!$B$2:$T$2</c:f>
              <c:numCache>
                <c:formatCode>#,##0</c:formatCode>
                <c:ptCount val="19"/>
                <c:pt idx="1">
                  <c:v>3304</c:v>
                </c:pt>
                <c:pt idx="3">
                  <c:v>5185</c:v>
                </c:pt>
                <c:pt idx="4">
                  <c:v>6562</c:v>
                </c:pt>
                <c:pt idx="5">
                  <c:v>12185</c:v>
                </c:pt>
                <c:pt idx="6">
                  <c:v>5723</c:v>
                </c:pt>
                <c:pt idx="7">
                  <c:v>5643</c:v>
                </c:pt>
                <c:pt idx="8">
                  <c:v>7999</c:v>
                </c:pt>
                <c:pt idx="9">
                  <c:v>15731</c:v>
                </c:pt>
                <c:pt idx="10">
                  <c:v>20842</c:v>
                </c:pt>
                <c:pt idx="11">
                  <c:v>21373</c:v>
                </c:pt>
                <c:pt idx="12">
                  <c:v>26991</c:v>
                </c:pt>
                <c:pt idx="13">
                  <c:v>41633</c:v>
                </c:pt>
                <c:pt idx="14">
                  <c:v>56612</c:v>
                </c:pt>
                <c:pt idx="15">
                  <c:v>69062</c:v>
                </c:pt>
                <c:pt idx="16">
                  <c:v>101044</c:v>
                </c:pt>
                <c:pt idx="17">
                  <c:v>110172</c:v>
                </c:pt>
                <c:pt idx="18">
                  <c:v>114189</c:v>
                </c:pt>
              </c:numCache>
            </c:numRef>
          </c:val>
          <c:smooth val="0"/>
          <c:extLst>
            <c:ext xmlns:c16="http://schemas.microsoft.com/office/drawing/2014/chart" uri="{C3380CC4-5D6E-409C-BE32-E72D297353CC}">
              <c16:uniqueId val="{00000000-8384-47E7-B178-BC8D5C5D0801}"/>
            </c:ext>
          </c:extLst>
        </c:ser>
        <c:dLbls>
          <c:showLegendKey val="0"/>
          <c:showVal val="0"/>
          <c:showCatName val="0"/>
          <c:showSerName val="0"/>
          <c:showPercent val="0"/>
          <c:showBubbleSize val="0"/>
        </c:dLbls>
        <c:marker val="1"/>
        <c:smooth val="0"/>
        <c:axId val="344907488"/>
        <c:axId val="344909056"/>
      </c:lineChart>
      <c:lineChart>
        <c:grouping val="standard"/>
        <c:varyColors val="0"/>
        <c:ser>
          <c:idx val="1"/>
          <c:order val="1"/>
          <c:tx>
            <c:strRef>
              <c:f>India!$A$3</c:f>
              <c:strCache>
                <c:ptCount val="1"/>
                <c:pt idx="0">
                  <c:v>Trade Balance</c:v>
                </c:pt>
              </c:strCache>
            </c:strRef>
          </c:tx>
          <c:spPr>
            <a:ln w="28575" cap="rnd">
              <a:solidFill>
                <a:schemeClr val="accent2"/>
              </a:solidFill>
              <a:round/>
            </a:ln>
            <a:effectLst/>
          </c:spPr>
          <c:marker>
            <c:symbol val="none"/>
          </c:marker>
          <c:cat>
            <c:numRef>
              <c:f>India!$B$1:$T$1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India!$B$3:$T$3</c:f>
              <c:numCache>
                <c:formatCode>#,##0</c:formatCode>
                <c:ptCount val="19"/>
                <c:pt idx="0">
                  <c:v>4722</c:v>
                </c:pt>
                <c:pt idx="1">
                  <c:v>6140</c:v>
                </c:pt>
                <c:pt idx="2">
                  <c:v>4668</c:v>
                </c:pt>
                <c:pt idx="3">
                  <c:v>6372</c:v>
                </c:pt>
                <c:pt idx="4">
                  <c:v>6306</c:v>
                </c:pt>
                <c:pt idx="5">
                  <c:v>7703</c:v>
                </c:pt>
                <c:pt idx="6">
                  <c:v>10416</c:v>
                </c:pt>
                <c:pt idx="7">
                  <c:v>12702</c:v>
                </c:pt>
                <c:pt idx="8">
                  <c:v>10482</c:v>
                </c:pt>
                <c:pt idx="9">
                  <c:v>10654</c:v>
                </c:pt>
                <c:pt idx="10">
                  <c:v>7101</c:v>
                </c:pt>
                <c:pt idx="11">
                  <c:v>14728</c:v>
                </c:pt>
                <c:pt idx="12">
                  <c:v>20245</c:v>
                </c:pt>
                <c:pt idx="13">
                  <c:v>24943</c:v>
                </c:pt>
                <c:pt idx="14">
                  <c:v>27136</c:v>
                </c:pt>
                <c:pt idx="15">
                  <c:v>31006</c:v>
                </c:pt>
                <c:pt idx="16">
                  <c:v>29501</c:v>
                </c:pt>
                <c:pt idx="17">
                  <c:v>29641</c:v>
                </c:pt>
                <c:pt idx="18">
                  <c:v>27361</c:v>
                </c:pt>
              </c:numCache>
            </c:numRef>
          </c:val>
          <c:smooth val="0"/>
          <c:extLst>
            <c:ext xmlns:c16="http://schemas.microsoft.com/office/drawing/2014/chart" uri="{C3380CC4-5D6E-409C-BE32-E72D297353CC}">
              <c16:uniqueId val="{00000001-8384-47E7-B178-BC8D5C5D0801}"/>
            </c:ext>
          </c:extLst>
        </c:ser>
        <c:dLbls>
          <c:showLegendKey val="0"/>
          <c:showVal val="0"/>
          <c:showCatName val="0"/>
          <c:showSerName val="0"/>
          <c:showPercent val="0"/>
          <c:showBubbleSize val="0"/>
        </c:dLbls>
        <c:marker val="1"/>
        <c:smooth val="0"/>
        <c:axId val="443384912"/>
        <c:axId val="443387472"/>
      </c:lineChart>
      <c:catAx>
        <c:axId val="34490748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09056"/>
        <c:crosses val="autoZero"/>
        <c:auto val="1"/>
        <c:lblAlgn val="ctr"/>
        <c:lblOffset val="100"/>
        <c:noMultiLvlLbl val="0"/>
      </c:catAx>
      <c:valAx>
        <c:axId val="344909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US Treasury Holdings, in Millions</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07488"/>
        <c:crosses val="autoZero"/>
        <c:crossBetween val="between"/>
      </c:valAx>
      <c:valAx>
        <c:axId val="4433874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Balance of Trade, In Millions</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384912"/>
        <c:crosses val="max"/>
        <c:crossBetween val="between"/>
      </c:valAx>
      <c:catAx>
        <c:axId val="443384912"/>
        <c:scaling>
          <c:orientation val="minMax"/>
        </c:scaling>
        <c:delete val="1"/>
        <c:axPos val="b"/>
        <c:numFmt formatCode="General" sourceLinked="1"/>
        <c:majorTickMark val="out"/>
        <c:minorTickMark val="none"/>
        <c:tickLblPos val="nextTo"/>
        <c:crossAx val="4433874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Taiwan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Taiwan!$A$2</c:f>
              <c:strCache>
                <c:ptCount val="1"/>
                <c:pt idx="0">
                  <c:v>Treasury Holdings</c:v>
                </c:pt>
              </c:strCache>
            </c:strRef>
          </c:tx>
          <c:spPr>
            <a:ln w="28575" cap="rnd">
              <a:solidFill>
                <a:schemeClr val="accent1"/>
              </a:solidFill>
              <a:round/>
            </a:ln>
            <a:effectLst/>
          </c:spPr>
          <c:marker>
            <c:symbol val="none"/>
          </c:marker>
          <c:cat>
            <c:numRef>
              <c:f>Taiwan!$B$1:$T$1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Taiwan!$B$2:$T$2</c:f>
              <c:numCache>
                <c:formatCode>#,##0</c:formatCode>
                <c:ptCount val="19"/>
                <c:pt idx="1">
                  <c:v>40381</c:v>
                </c:pt>
                <c:pt idx="3">
                  <c:v>34487</c:v>
                </c:pt>
                <c:pt idx="4">
                  <c:v>40880</c:v>
                </c:pt>
                <c:pt idx="5">
                  <c:v>64996</c:v>
                </c:pt>
                <c:pt idx="6">
                  <c:v>66003</c:v>
                </c:pt>
                <c:pt idx="7">
                  <c:v>61747</c:v>
                </c:pt>
                <c:pt idx="8">
                  <c:v>43052</c:v>
                </c:pt>
                <c:pt idx="9">
                  <c:v>64709</c:v>
                </c:pt>
                <c:pt idx="10">
                  <c:v>111607</c:v>
                </c:pt>
                <c:pt idx="11">
                  <c:v>149029</c:v>
                </c:pt>
                <c:pt idx="12">
                  <c:v>144297</c:v>
                </c:pt>
                <c:pt idx="13">
                  <c:v>194024</c:v>
                </c:pt>
                <c:pt idx="14">
                  <c:v>183159</c:v>
                </c:pt>
                <c:pt idx="15">
                  <c:v>178197</c:v>
                </c:pt>
                <c:pt idx="16">
                  <c:v>173831</c:v>
                </c:pt>
                <c:pt idx="17">
                  <c:v>184891</c:v>
                </c:pt>
                <c:pt idx="18">
                  <c:v>182593</c:v>
                </c:pt>
              </c:numCache>
            </c:numRef>
          </c:val>
          <c:smooth val="0"/>
          <c:extLst>
            <c:ext xmlns:c16="http://schemas.microsoft.com/office/drawing/2014/chart" uri="{C3380CC4-5D6E-409C-BE32-E72D297353CC}">
              <c16:uniqueId val="{00000000-3AED-4A81-AEC1-1DB31275D177}"/>
            </c:ext>
          </c:extLst>
        </c:ser>
        <c:dLbls>
          <c:showLegendKey val="0"/>
          <c:showVal val="0"/>
          <c:showCatName val="0"/>
          <c:showSerName val="0"/>
          <c:showPercent val="0"/>
          <c:showBubbleSize val="0"/>
        </c:dLbls>
        <c:marker val="1"/>
        <c:smooth val="0"/>
        <c:axId val="344908664"/>
        <c:axId val="346609840"/>
      </c:lineChart>
      <c:lineChart>
        <c:grouping val="standard"/>
        <c:varyColors val="0"/>
        <c:ser>
          <c:idx val="1"/>
          <c:order val="1"/>
          <c:tx>
            <c:strRef>
              <c:f>Taiwan!$A$3</c:f>
              <c:strCache>
                <c:ptCount val="1"/>
                <c:pt idx="0">
                  <c:v>Trade Balance</c:v>
                </c:pt>
              </c:strCache>
            </c:strRef>
          </c:tx>
          <c:spPr>
            <a:ln w="28575" cap="rnd">
              <a:solidFill>
                <a:schemeClr val="accent2"/>
              </a:solidFill>
              <a:round/>
            </a:ln>
            <a:effectLst/>
          </c:spPr>
          <c:marker>
            <c:symbol val="none"/>
          </c:marker>
          <c:cat>
            <c:numRef>
              <c:f>Taiwan!$B$1:$T$1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Taiwan!$B$3:$T$3</c:f>
              <c:numCache>
                <c:formatCode>#,##0</c:formatCode>
                <c:ptCount val="19"/>
                <c:pt idx="0">
                  <c:v>14373</c:v>
                </c:pt>
                <c:pt idx="1">
                  <c:v>14382</c:v>
                </c:pt>
                <c:pt idx="2">
                  <c:v>13759</c:v>
                </c:pt>
                <c:pt idx="3">
                  <c:v>13045</c:v>
                </c:pt>
                <c:pt idx="4">
                  <c:v>14085</c:v>
                </c:pt>
                <c:pt idx="5">
                  <c:v>12659</c:v>
                </c:pt>
                <c:pt idx="6">
                  <c:v>12428</c:v>
                </c:pt>
                <c:pt idx="7">
                  <c:v>15255</c:v>
                </c:pt>
                <c:pt idx="8">
                  <c:v>13113</c:v>
                </c:pt>
                <c:pt idx="9">
                  <c:v>10737</c:v>
                </c:pt>
                <c:pt idx="10">
                  <c:v>7216</c:v>
                </c:pt>
                <c:pt idx="11">
                  <c:v>5163</c:v>
                </c:pt>
                <c:pt idx="12">
                  <c:v>10135</c:v>
                </c:pt>
                <c:pt idx="13">
                  <c:v>8920</c:v>
                </c:pt>
                <c:pt idx="14">
                  <c:v>6877</c:v>
                </c:pt>
                <c:pt idx="15">
                  <c:v>8263</c:v>
                </c:pt>
                <c:pt idx="16">
                  <c:v>9947</c:v>
                </c:pt>
                <c:pt idx="17">
                  <c:v>8794</c:v>
                </c:pt>
                <c:pt idx="18">
                  <c:v>14396</c:v>
                </c:pt>
              </c:numCache>
            </c:numRef>
          </c:val>
          <c:smooth val="0"/>
          <c:extLst>
            <c:ext xmlns:c16="http://schemas.microsoft.com/office/drawing/2014/chart" uri="{C3380CC4-5D6E-409C-BE32-E72D297353CC}">
              <c16:uniqueId val="{00000001-3AED-4A81-AEC1-1DB31275D177}"/>
            </c:ext>
          </c:extLst>
        </c:ser>
        <c:dLbls>
          <c:showLegendKey val="0"/>
          <c:showVal val="0"/>
          <c:showCatName val="0"/>
          <c:showSerName val="0"/>
          <c:showPercent val="0"/>
          <c:showBubbleSize val="0"/>
        </c:dLbls>
        <c:marker val="1"/>
        <c:smooth val="0"/>
        <c:axId val="443400592"/>
        <c:axId val="443398672"/>
      </c:lineChart>
      <c:catAx>
        <c:axId val="34490866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09840"/>
        <c:crosses val="autoZero"/>
        <c:auto val="1"/>
        <c:lblAlgn val="ctr"/>
        <c:lblOffset val="100"/>
        <c:noMultiLvlLbl val="0"/>
      </c:catAx>
      <c:valAx>
        <c:axId val="346609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US Treasury Holdings, in Millions</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908664"/>
        <c:crosses val="autoZero"/>
        <c:crossBetween val="between"/>
      </c:valAx>
      <c:valAx>
        <c:axId val="443398672"/>
        <c:scaling>
          <c:orientation val="minMax"/>
        </c:scaling>
        <c:delete val="0"/>
        <c:axPos val="r"/>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Balance of Trade, In Millions</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00"/>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400592"/>
        <c:crosses val="max"/>
        <c:crossBetween val="between"/>
      </c:valAx>
      <c:catAx>
        <c:axId val="443400592"/>
        <c:scaling>
          <c:orientation val="minMax"/>
        </c:scaling>
        <c:delete val="1"/>
        <c:axPos val="b"/>
        <c:numFmt formatCode="General" sourceLinked="1"/>
        <c:majorTickMark val="out"/>
        <c:minorTickMark val="none"/>
        <c:tickLblPos val="nextTo"/>
        <c:crossAx val="4433986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Brazil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Brazil!$A$2</c:f>
              <c:strCache>
                <c:ptCount val="1"/>
                <c:pt idx="0">
                  <c:v>Treasury Holdings</c:v>
                </c:pt>
              </c:strCache>
            </c:strRef>
          </c:tx>
          <c:spPr>
            <a:ln w="28575" cap="rnd">
              <a:solidFill>
                <a:schemeClr val="accent1"/>
              </a:solidFill>
              <a:round/>
            </a:ln>
            <a:effectLst/>
          </c:spPr>
          <c:marker>
            <c:symbol val="none"/>
          </c:marker>
          <c:cat>
            <c:numRef>
              <c:f>Brazil!$B$1:$T$1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Brazil!$B$2:$T$2</c:f>
              <c:numCache>
                <c:formatCode>#,##0</c:formatCode>
                <c:ptCount val="19"/>
                <c:pt idx="1">
                  <c:v>7377</c:v>
                </c:pt>
                <c:pt idx="3">
                  <c:v>10883</c:v>
                </c:pt>
                <c:pt idx="4">
                  <c:v>11241</c:v>
                </c:pt>
                <c:pt idx="5">
                  <c:v>13319</c:v>
                </c:pt>
                <c:pt idx="6">
                  <c:v>21947</c:v>
                </c:pt>
                <c:pt idx="7">
                  <c:v>33092</c:v>
                </c:pt>
                <c:pt idx="8">
                  <c:v>94594</c:v>
                </c:pt>
                <c:pt idx="9">
                  <c:v>157091</c:v>
                </c:pt>
                <c:pt idx="10">
                  <c:v>109033</c:v>
                </c:pt>
                <c:pt idx="11">
                  <c:v>132164</c:v>
                </c:pt>
                <c:pt idx="12">
                  <c:v>212000</c:v>
                </c:pt>
                <c:pt idx="13">
                  <c:v>235743</c:v>
                </c:pt>
                <c:pt idx="14">
                  <c:v>234378</c:v>
                </c:pt>
                <c:pt idx="15">
                  <c:v>227978</c:v>
                </c:pt>
                <c:pt idx="16">
                  <c:v>237775</c:v>
                </c:pt>
                <c:pt idx="17">
                  <c:v>238597</c:v>
                </c:pt>
                <c:pt idx="18">
                  <c:v>252210</c:v>
                </c:pt>
              </c:numCache>
            </c:numRef>
          </c:val>
          <c:smooth val="0"/>
          <c:extLst>
            <c:ext xmlns:c16="http://schemas.microsoft.com/office/drawing/2014/chart" uri="{C3380CC4-5D6E-409C-BE32-E72D297353CC}">
              <c16:uniqueId val="{00000000-89BD-49F6-AB85-72CCE1238B55}"/>
            </c:ext>
          </c:extLst>
        </c:ser>
        <c:dLbls>
          <c:showLegendKey val="0"/>
          <c:showVal val="0"/>
          <c:showCatName val="0"/>
          <c:showSerName val="0"/>
          <c:showPercent val="0"/>
          <c:showBubbleSize val="0"/>
        </c:dLbls>
        <c:marker val="1"/>
        <c:smooth val="0"/>
        <c:axId val="346609448"/>
        <c:axId val="346610232"/>
      </c:lineChart>
      <c:lineChart>
        <c:grouping val="standard"/>
        <c:varyColors val="0"/>
        <c:ser>
          <c:idx val="1"/>
          <c:order val="1"/>
          <c:tx>
            <c:strRef>
              <c:f>Brazil!$A$3</c:f>
              <c:strCache>
                <c:ptCount val="1"/>
                <c:pt idx="0">
                  <c:v>Trade Balance</c:v>
                </c:pt>
              </c:strCache>
            </c:strRef>
          </c:tx>
          <c:spPr>
            <a:ln w="28575" cap="rnd">
              <a:solidFill>
                <a:schemeClr val="accent2"/>
              </a:solidFill>
              <a:round/>
            </a:ln>
            <a:effectLst/>
          </c:spPr>
          <c:marker>
            <c:symbol val="none"/>
          </c:marker>
          <c:cat>
            <c:numRef>
              <c:f>Brazil!$B$1:$T$1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Brazil!$B$3:$T$3</c:f>
              <c:numCache>
                <c:formatCode>General</c:formatCode>
                <c:ptCount val="19"/>
                <c:pt idx="0">
                  <c:v>-6146</c:v>
                </c:pt>
                <c:pt idx="1">
                  <c:v>-6474</c:v>
                </c:pt>
                <c:pt idx="2">
                  <c:v>-5605</c:v>
                </c:pt>
                <c:pt idx="3">
                  <c:v>-101</c:v>
                </c:pt>
                <c:pt idx="4">
                  <c:v>3584</c:v>
                </c:pt>
                <c:pt idx="5">
                  <c:v>4236</c:v>
                </c:pt>
                <c:pt idx="6">
                  <c:v>5158</c:v>
                </c:pt>
                <c:pt idx="7">
                  <c:v>3113</c:v>
                </c:pt>
                <c:pt idx="8">
                  <c:v>-5031</c:v>
                </c:pt>
                <c:pt idx="9">
                  <c:v>-9988</c:v>
                </c:pt>
                <c:pt idx="10">
                  <c:v>-14759</c:v>
                </c:pt>
                <c:pt idx="11">
                  <c:v>-24411</c:v>
                </c:pt>
                <c:pt idx="12">
                  <c:v>-27733</c:v>
                </c:pt>
                <c:pt idx="13">
                  <c:v>-29508</c:v>
                </c:pt>
                <c:pt idx="14">
                  <c:v>-36091</c:v>
                </c:pt>
                <c:pt idx="15">
                  <c:v>-33251</c:v>
                </c:pt>
                <c:pt idx="16">
                  <c:v>-24696</c:v>
                </c:pt>
                <c:pt idx="17">
                  <c:v>-21555</c:v>
                </c:pt>
                <c:pt idx="18">
                  <c:v>-28479</c:v>
                </c:pt>
              </c:numCache>
            </c:numRef>
          </c:val>
          <c:smooth val="0"/>
          <c:extLst>
            <c:ext xmlns:c16="http://schemas.microsoft.com/office/drawing/2014/chart" uri="{C3380CC4-5D6E-409C-BE32-E72D297353CC}">
              <c16:uniqueId val="{00000001-89BD-49F6-AB85-72CCE1238B55}"/>
            </c:ext>
          </c:extLst>
        </c:ser>
        <c:dLbls>
          <c:showLegendKey val="0"/>
          <c:showVal val="0"/>
          <c:showCatName val="0"/>
          <c:showSerName val="0"/>
          <c:showPercent val="0"/>
          <c:showBubbleSize val="0"/>
        </c:dLbls>
        <c:marker val="1"/>
        <c:smooth val="0"/>
        <c:axId val="443405392"/>
        <c:axId val="443406672"/>
      </c:lineChart>
      <c:catAx>
        <c:axId val="34660944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10232"/>
        <c:crosses val="autoZero"/>
        <c:auto val="1"/>
        <c:lblAlgn val="ctr"/>
        <c:lblOffset val="100"/>
        <c:noMultiLvlLbl val="0"/>
      </c:catAx>
      <c:valAx>
        <c:axId val="346610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US Treasury Holdings, in Millions</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09448"/>
        <c:crosses val="autoZero"/>
        <c:crossBetween val="between"/>
      </c:valAx>
      <c:valAx>
        <c:axId val="443406672"/>
        <c:scaling>
          <c:orientation val="minMax"/>
        </c:scaling>
        <c:delete val="0"/>
        <c:axPos val="r"/>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Balance of Trade, In Millions</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00"/>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405392"/>
        <c:crosses val="max"/>
        <c:crossBetween val="between"/>
      </c:valAx>
      <c:catAx>
        <c:axId val="443405392"/>
        <c:scaling>
          <c:orientation val="minMax"/>
        </c:scaling>
        <c:delete val="1"/>
        <c:axPos val="b"/>
        <c:numFmt formatCode="General" sourceLinked="1"/>
        <c:majorTickMark val="out"/>
        <c:minorTickMark val="none"/>
        <c:tickLblPos val="nextTo"/>
        <c:crossAx val="4434066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Mexico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Mexico!$A$2</c:f>
              <c:strCache>
                <c:ptCount val="1"/>
                <c:pt idx="0">
                  <c:v>Treasury Holdings</c:v>
                </c:pt>
              </c:strCache>
            </c:strRef>
          </c:tx>
          <c:spPr>
            <a:ln w="28575" cap="rnd">
              <a:solidFill>
                <a:schemeClr val="accent1"/>
              </a:solidFill>
              <a:round/>
            </a:ln>
            <a:effectLst/>
          </c:spPr>
          <c:marker>
            <c:symbol val="none"/>
          </c:marker>
          <c:cat>
            <c:numRef>
              <c:f>Mexico!$B$1:$T$1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Mexico!$B$2:$T$2</c:f>
              <c:numCache>
                <c:formatCode>#,##0</c:formatCode>
                <c:ptCount val="19"/>
                <c:pt idx="1">
                  <c:v>7627</c:v>
                </c:pt>
                <c:pt idx="3">
                  <c:v>16681</c:v>
                </c:pt>
                <c:pt idx="4">
                  <c:v>19679</c:v>
                </c:pt>
                <c:pt idx="5">
                  <c:v>24920</c:v>
                </c:pt>
                <c:pt idx="6">
                  <c:v>22902</c:v>
                </c:pt>
                <c:pt idx="7">
                  <c:v>32909</c:v>
                </c:pt>
                <c:pt idx="8">
                  <c:v>28008</c:v>
                </c:pt>
                <c:pt idx="9">
                  <c:v>29038</c:v>
                </c:pt>
                <c:pt idx="10">
                  <c:v>23655</c:v>
                </c:pt>
                <c:pt idx="11">
                  <c:v>30754</c:v>
                </c:pt>
                <c:pt idx="12">
                  <c:v>29457</c:v>
                </c:pt>
                <c:pt idx="13">
                  <c:v>41842</c:v>
                </c:pt>
                <c:pt idx="14">
                  <c:v>52705</c:v>
                </c:pt>
                <c:pt idx="15">
                  <c:v>51872</c:v>
                </c:pt>
                <c:pt idx="16">
                  <c:v>77633</c:v>
                </c:pt>
                <c:pt idx="17">
                  <c:v>39163</c:v>
                </c:pt>
                <c:pt idx="18">
                  <c:v>27806</c:v>
                </c:pt>
              </c:numCache>
            </c:numRef>
          </c:val>
          <c:smooth val="0"/>
          <c:extLst>
            <c:ext xmlns:c16="http://schemas.microsoft.com/office/drawing/2014/chart" uri="{C3380CC4-5D6E-409C-BE32-E72D297353CC}">
              <c16:uniqueId val="{00000000-268F-4521-AD19-F243F5053CCE}"/>
            </c:ext>
          </c:extLst>
        </c:ser>
        <c:dLbls>
          <c:showLegendKey val="0"/>
          <c:showVal val="0"/>
          <c:showCatName val="0"/>
          <c:showSerName val="0"/>
          <c:showPercent val="0"/>
          <c:showBubbleSize val="0"/>
        </c:dLbls>
        <c:marker val="1"/>
        <c:smooth val="0"/>
        <c:axId val="346608664"/>
        <c:axId val="346604744"/>
      </c:lineChart>
      <c:lineChart>
        <c:grouping val="standard"/>
        <c:varyColors val="0"/>
        <c:ser>
          <c:idx val="1"/>
          <c:order val="1"/>
          <c:tx>
            <c:strRef>
              <c:f>Mexico!$A$3</c:f>
              <c:strCache>
                <c:ptCount val="1"/>
                <c:pt idx="0">
                  <c:v>Trade Balance</c:v>
                </c:pt>
              </c:strCache>
            </c:strRef>
          </c:tx>
          <c:spPr>
            <a:ln w="28575" cap="rnd">
              <a:solidFill>
                <a:schemeClr val="accent2"/>
              </a:solidFill>
              <a:round/>
            </a:ln>
            <a:effectLst/>
          </c:spPr>
          <c:marker>
            <c:symbol val="none"/>
          </c:marker>
          <c:cat>
            <c:numRef>
              <c:f>Mexico!$B$1:$T$1</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Mexico!$B$3:$T$3</c:f>
              <c:numCache>
                <c:formatCode>#,##0</c:formatCode>
                <c:ptCount val="19"/>
                <c:pt idx="0">
                  <c:v>19298</c:v>
                </c:pt>
                <c:pt idx="1">
                  <c:v>21182</c:v>
                </c:pt>
                <c:pt idx="2">
                  <c:v>25545</c:v>
                </c:pt>
                <c:pt idx="3">
                  <c:v>33264</c:v>
                </c:pt>
                <c:pt idx="4">
                  <c:v>36558</c:v>
                </c:pt>
                <c:pt idx="5">
                  <c:v>42204</c:v>
                </c:pt>
                <c:pt idx="6">
                  <c:v>45215</c:v>
                </c:pt>
                <c:pt idx="7">
                  <c:v>59193</c:v>
                </c:pt>
                <c:pt idx="8">
                  <c:v>69311</c:v>
                </c:pt>
                <c:pt idx="9">
                  <c:v>58568</c:v>
                </c:pt>
                <c:pt idx="10">
                  <c:v>41505</c:v>
                </c:pt>
                <c:pt idx="11">
                  <c:v>58399</c:v>
                </c:pt>
                <c:pt idx="12">
                  <c:v>56989</c:v>
                </c:pt>
                <c:pt idx="13">
                  <c:v>54006</c:v>
                </c:pt>
                <c:pt idx="14">
                  <c:v>47647</c:v>
                </c:pt>
                <c:pt idx="15">
                  <c:v>51316</c:v>
                </c:pt>
                <c:pt idx="16">
                  <c:v>58033</c:v>
                </c:pt>
                <c:pt idx="17">
                  <c:v>62372</c:v>
                </c:pt>
                <c:pt idx="18">
                  <c:v>68745</c:v>
                </c:pt>
              </c:numCache>
            </c:numRef>
          </c:val>
          <c:smooth val="0"/>
          <c:extLst>
            <c:ext xmlns:c16="http://schemas.microsoft.com/office/drawing/2014/chart" uri="{C3380CC4-5D6E-409C-BE32-E72D297353CC}">
              <c16:uniqueId val="{00000001-268F-4521-AD19-F243F5053CCE}"/>
            </c:ext>
          </c:extLst>
        </c:ser>
        <c:dLbls>
          <c:showLegendKey val="0"/>
          <c:showVal val="0"/>
          <c:showCatName val="0"/>
          <c:showSerName val="0"/>
          <c:showPercent val="0"/>
          <c:showBubbleSize val="0"/>
        </c:dLbls>
        <c:marker val="1"/>
        <c:smooth val="0"/>
        <c:axId val="481542032"/>
        <c:axId val="481540112"/>
      </c:lineChart>
      <c:catAx>
        <c:axId val="346608664"/>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04744"/>
        <c:crosses val="autoZero"/>
        <c:auto val="1"/>
        <c:lblAlgn val="ctr"/>
        <c:lblOffset val="100"/>
        <c:noMultiLvlLbl val="0"/>
      </c:catAx>
      <c:valAx>
        <c:axId val="346604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US Treasury Holdings, in Millions</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08664"/>
        <c:crosses val="autoZero"/>
        <c:crossBetween val="between"/>
      </c:valAx>
      <c:valAx>
        <c:axId val="481540112"/>
        <c:scaling>
          <c:orientation val="minMax"/>
        </c:scaling>
        <c:delete val="0"/>
        <c:axPos val="r"/>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0" i="0" baseline="0">
                    <a:effectLst/>
                  </a:rPr>
                  <a:t>Balance of Trade, In Millions</a:t>
                </a:r>
                <a:endParaRPr lang="en-US"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542032"/>
        <c:crosses val="max"/>
        <c:crossBetween val="between"/>
      </c:valAx>
      <c:catAx>
        <c:axId val="481542032"/>
        <c:scaling>
          <c:orientation val="minMax"/>
        </c:scaling>
        <c:delete val="1"/>
        <c:axPos val="b"/>
        <c:numFmt formatCode="General" sourceLinked="1"/>
        <c:majorTickMark val="out"/>
        <c:minorTickMark val="none"/>
        <c:tickLblPos val="nextTo"/>
        <c:crossAx val="4815401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9816-F1D4-4349-BB43-4E3F9C49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10331</Words>
  <Characters>58892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Liss</dc:creator>
  <cp:keywords/>
  <dc:description/>
  <cp:lastModifiedBy>Jesse Liss</cp:lastModifiedBy>
  <cp:revision>26</cp:revision>
  <dcterms:created xsi:type="dcterms:W3CDTF">2019-03-03T18:05:00Z</dcterms:created>
  <dcterms:modified xsi:type="dcterms:W3CDTF">2019-04-02T19:10:00Z</dcterms:modified>
</cp:coreProperties>
</file>